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B2E2E" w14:textId="2757E6F6" w:rsidR="004B6E1C" w:rsidRPr="00D47841" w:rsidRDefault="000F4F96" w:rsidP="009748F8">
      <w:pPr>
        <w:jc w:val="both"/>
        <w:rPr>
          <w:rFonts w:ascii="Adobe Garamond Pro" w:hAnsi="Adobe Garamond Pro" w:cs="Times New Roman"/>
          <w:sz w:val="24"/>
          <w:szCs w:val="24"/>
        </w:rPr>
      </w:pPr>
      <w:r w:rsidRPr="00D47841">
        <w:rPr>
          <w:rFonts w:ascii="Adobe Garamond Pro" w:hAnsi="Adobe Garamond Pro" w:cs="Times New Roman"/>
          <w:sz w:val="24"/>
          <w:szCs w:val="24"/>
        </w:rPr>
        <w:t>Article V Conventions and the Tenth Amendment Go Hand-in-Hand</w:t>
      </w:r>
    </w:p>
    <w:p w14:paraId="44277DFE" w14:textId="77777777" w:rsidR="004B6E1C" w:rsidRPr="00D47841" w:rsidRDefault="004B6E1C" w:rsidP="009748F8">
      <w:pPr>
        <w:jc w:val="both"/>
        <w:rPr>
          <w:rFonts w:ascii="Adobe Garamond Pro" w:hAnsi="Adobe Garamond Pro" w:cs="Times New Roman"/>
          <w:sz w:val="24"/>
          <w:szCs w:val="24"/>
        </w:rPr>
      </w:pPr>
    </w:p>
    <w:p w14:paraId="669F90ED" w14:textId="53662D48" w:rsidR="0082729F" w:rsidRPr="00D47841" w:rsidRDefault="00EC77D2" w:rsidP="009748F8">
      <w:pPr>
        <w:jc w:val="both"/>
        <w:rPr>
          <w:rFonts w:ascii="Adobe Garamond Pro" w:hAnsi="Adobe Garamond Pro" w:cs="Times New Roman"/>
          <w:sz w:val="24"/>
          <w:szCs w:val="24"/>
        </w:rPr>
      </w:pPr>
      <w:r w:rsidRPr="00D47841">
        <w:rPr>
          <w:rFonts w:ascii="Adobe Garamond Pro" w:hAnsi="Adobe Garamond Pro" w:cs="Times New Roman"/>
          <w:sz w:val="24"/>
          <w:szCs w:val="24"/>
        </w:rPr>
        <w:t>The</w:t>
      </w:r>
      <w:r w:rsidR="00C8543E" w:rsidRPr="00D47841">
        <w:rPr>
          <w:rFonts w:ascii="Adobe Garamond Pro" w:hAnsi="Adobe Garamond Pro" w:cs="Times New Roman"/>
          <w:sz w:val="24"/>
          <w:szCs w:val="24"/>
        </w:rPr>
        <w:t xml:space="preserve"> </w:t>
      </w:r>
      <w:r w:rsidR="004C6DC7" w:rsidRPr="00D47841">
        <w:rPr>
          <w:rFonts w:ascii="Adobe Garamond Pro" w:hAnsi="Adobe Garamond Pro" w:cs="Times New Roman"/>
          <w:sz w:val="24"/>
          <w:szCs w:val="24"/>
        </w:rPr>
        <w:t xml:space="preserve">movement to amend the Constitution by </w:t>
      </w:r>
      <w:r w:rsidR="00C8543E" w:rsidRPr="00D47841">
        <w:rPr>
          <w:rFonts w:ascii="Adobe Garamond Pro" w:hAnsi="Adobe Garamond Pro" w:cs="Times New Roman"/>
          <w:sz w:val="24"/>
          <w:szCs w:val="24"/>
        </w:rPr>
        <w:t xml:space="preserve">convention </w:t>
      </w:r>
      <w:r w:rsidR="00CD004E" w:rsidRPr="00D47841">
        <w:rPr>
          <w:rFonts w:ascii="Adobe Garamond Pro" w:hAnsi="Adobe Garamond Pro" w:cs="Times New Roman"/>
          <w:sz w:val="24"/>
          <w:szCs w:val="24"/>
        </w:rPr>
        <w:t xml:space="preserve">under Article V has </w:t>
      </w:r>
      <w:r w:rsidR="00B44BE7" w:rsidRPr="00D47841">
        <w:rPr>
          <w:rFonts w:ascii="Adobe Garamond Pro" w:hAnsi="Adobe Garamond Pro" w:cs="Times New Roman"/>
          <w:sz w:val="24"/>
          <w:szCs w:val="24"/>
        </w:rPr>
        <w:t xml:space="preserve">recently </w:t>
      </w:r>
      <w:r w:rsidR="00CD004E" w:rsidRPr="00D47841">
        <w:rPr>
          <w:rFonts w:ascii="Adobe Garamond Pro" w:hAnsi="Adobe Garamond Pro" w:cs="Times New Roman"/>
          <w:sz w:val="24"/>
          <w:szCs w:val="24"/>
        </w:rPr>
        <w:t>garnered</w:t>
      </w:r>
      <w:r w:rsidR="00B44BE7" w:rsidRPr="00D47841">
        <w:rPr>
          <w:rFonts w:ascii="Adobe Garamond Pro" w:hAnsi="Adobe Garamond Pro" w:cs="Times New Roman"/>
          <w:sz w:val="24"/>
          <w:szCs w:val="24"/>
        </w:rPr>
        <w:t xml:space="preserve"> incredible strength</w:t>
      </w:r>
      <w:r w:rsidR="004C6DC7" w:rsidRPr="00D47841">
        <w:rPr>
          <w:rFonts w:ascii="Adobe Garamond Pro" w:hAnsi="Adobe Garamond Pro" w:cs="Times New Roman"/>
          <w:sz w:val="24"/>
          <w:szCs w:val="24"/>
        </w:rPr>
        <w:t xml:space="preserve">. </w:t>
      </w:r>
      <w:r w:rsidR="00B44BE7" w:rsidRPr="00D47841">
        <w:rPr>
          <w:rFonts w:ascii="Adobe Garamond Pro" w:hAnsi="Adobe Garamond Pro" w:cs="Times New Roman"/>
          <w:sz w:val="24"/>
          <w:szCs w:val="24"/>
        </w:rPr>
        <w:t>In the past five years, n</w:t>
      </w:r>
      <w:r w:rsidR="004C6DC7" w:rsidRPr="00D47841">
        <w:rPr>
          <w:rFonts w:ascii="Adobe Garamond Pro" w:hAnsi="Adobe Garamond Pro" w:cs="Times New Roman"/>
          <w:sz w:val="24"/>
          <w:szCs w:val="24"/>
        </w:rPr>
        <w:t>early two dozen pieces of Article V legislation have been passed in as many states by nearly as many public policy organizations. From the Left to the Right, Americans are recognizing that the rules of the political</w:t>
      </w:r>
      <w:r w:rsidR="0082729F" w:rsidRPr="00D47841">
        <w:rPr>
          <w:rFonts w:ascii="Adobe Garamond Pro" w:hAnsi="Adobe Garamond Pro" w:cs="Times New Roman"/>
          <w:sz w:val="24"/>
          <w:szCs w:val="24"/>
        </w:rPr>
        <w:t xml:space="preserve"> ga</w:t>
      </w:r>
      <w:r w:rsidR="004C6DC7" w:rsidRPr="00D47841">
        <w:rPr>
          <w:rFonts w:ascii="Adobe Garamond Pro" w:hAnsi="Adobe Garamond Pro" w:cs="Times New Roman"/>
          <w:sz w:val="24"/>
          <w:szCs w:val="24"/>
        </w:rPr>
        <w:t>me need to be r</w:t>
      </w:r>
      <w:r w:rsidR="008B6660" w:rsidRPr="00D47841">
        <w:rPr>
          <w:rFonts w:ascii="Adobe Garamond Pro" w:hAnsi="Adobe Garamond Pro" w:cs="Times New Roman"/>
          <w:sz w:val="24"/>
          <w:szCs w:val="24"/>
        </w:rPr>
        <w:t>ewritten outside of Washington to reform the federal government</w:t>
      </w:r>
      <w:r w:rsidR="0082729F" w:rsidRPr="00D47841">
        <w:rPr>
          <w:rFonts w:ascii="Adobe Garamond Pro" w:hAnsi="Adobe Garamond Pro" w:cs="Times New Roman"/>
          <w:sz w:val="24"/>
          <w:szCs w:val="24"/>
        </w:rPr>
        <w:t>.</w:t>
      </w:r>
    </w:p>
    <w:p w14:paraId="0F3B4949" w14:textId="77777777" w:rsidR="00B46447" w:rsidRPr="00D47841" w:rsidRDefault="00B46447" w:rsidP="009748F8">
      <w:pPr>
        <w:jc w:val="both"/>
        <w:rPr>
          <w:rFonts w:ascii="Adobe Garamond Pro" w:hAnsi="Adobe Garamond Pro" w:cs="Times New Roman"/>
          <w:sz w:val="24"/>
          <w:szCs w:val="24"/>
        </w:rPr>
      </w:pPr>
    </w:p>
    <w:p w14:paraId="3A19469A" w14:textId="299641C8" w:rsidR="009D1D12" w:rsidRPr="00D47841" w:rsidRDefault="00CD004E" w:rsidP="009748F8">
      <w:pPr>
        <w:jc w:val="both"/>
        <w:rPr>
          <w:rFonts w:ascii="Adobe Garamond Pro" w:hAnsi="Adobe Garamond Pro" w:cs="Times New Roman"/>
          <w:sz w:val="24"/>
          <w:szCs w:val="24"/>
        </w:rPr>
      </w:pPr>
      <w:r w:rsidRPr="00D47841">
        <w:rPr>
          <w:rFonts w:ascii="Adobe Garamond Pro" w:hAnsi="Adobe Garamond Pro" w:cs="Times New Roman"/>
          <w:sz w:val="24"/>
          <w:szCs w:val="24"/>
        </w:rPr>
        <w:t xml:space="preserve">Most </w:t>
      </w:r>
      <w:r w:rsidR="002577C4" w:rsidRPr="00D47841">
        <w:rPr>
          <w:rFonts w:ascii="Adobe Garamond Pro" w:hAnsi="Adobe Garamond Pro" w:cs="Times New Roman"/>
          <w:sz w:val="24"/>
          <w:szCs w:val="24"/>
        </w:rPr>
        <w:t>of this</w:t>
      </w:r>
      <w:r w:rsidR="004C6DC7" w:rsidRPr="00D47841">
        <w:rPr>
          <w:rFonts w:ascii="Adobe Garamond Pro" w:hAnsi="Adobe Garamond Pro" w:cs="Times New Roman"/>
          <w:sz w:val="24"/>
          <w:szCs w:val="24"/>
        </w:rPr>
        <w:t xml:space="preserve"> </w:t>
      </w:r>
      <w:r w:rsidR="00857FB2" w:rsidRPr="00D47841">
        <w:rPr>
          <w:rFonts w:ascii="Adobe Garamond Pro" w:hAnsi="Adobe Garamond Pro" w:cs="Times New Roman"/>
          <w:sz w:val="24"/>
          <w:szCs w:val="24"/>
        </w:rPr>
        <w:t xml:space="preserve">recent </w:t>
      </w:r>
      <w:r w:rsidR="0082729F" w:rsidRPr="00D47841">
        <w:rPr>
          <w:rFonts w:ascii="Adobe Garamond Pro" w:hAnsi="Adobe Garamond Pro" w:cs="Times New Roman"/>
          <w:sz w:val="24"/>
          <w:szCs w:val="24"/>
        </w:rPr>
        <w:t xml:space="preserve">legislative </w:t>
      </w:r>
      <w:r w:rsidR="004C6DC7" w:rsidRPr="00D47841">
        <w:rPr>
          <w:rFonts w:ascii="Adobe Garamond Pro" w:hAnsi="Adobe Garamond Pro" w:cs="Times New Roman"/>
          <w:sz w:val="24"/>
          <w:szCs w:val="24"/>
        </w:rPr>
        <w:t xml:space="preserve">ferment </w:t>
      </w:r>
      <w:r w:rsidRPr="00D47841">
        <w:rPr>
          <w:rFonts w:ascii="Adobe Garamond Pro" w:hAnsi="Adobe Garamond Pro" w:cs="Times New Roman"/>
          <w:sz w:val="24"/>
          <w:szCs w:val="24"/>
        </w:rPr>
        <w:t xml:space="preserve">is attributable to </w:t>
      </w:r>
      <w:r w:rsidR="009D1D12" w:rsidRPr="00D47841">
        <w:rPr>
          <w:rFonts w:ascii="Adobe Garamond Pro" w:hAnsi="Adobe Garamond Pro" w:cs="Times New Roman"/>
          <w:sz w:val="24"/>
          <w:szCs w:val="24"/>
        </w:rPr>
        <w:t>th</w:t>
      </w:r>
      <w:r w:rsidR="004C6DC7" w:rsidRPr="00D47841">
        <w:rPr>
          <w:rFonts w:ascii="Adobe Garamond Pro" w:hAnsi="Adobe Garamond Pro" w:cs="Times New Roman"/>
          <w:sz w:val="24"/>
          <w:szCs w:val="24"/>
        </w:rPr>
        <w:t xml:space="preserve">e </w:t>
      </w:r>
      <w:r w:rsidRPr="00D47841">
        <w:rPr>
          <w:rFonts w:ascii="Adobe Garamond Pro" w:hAnsi="Adobe Garamond Pro" w:cs="Times New Roman"/>
          <w:sz w:val="24"/>
          <w:szCs w:val="24"/>
        </w:rPr>
        <w:t xml:space="preserve">seminal </w:t>
      </w:r>
      <w:r w:rsidR="004C6DC7" w:rsidRPr="00D47841">
        <w:rPr>
          <w:rFonts w:ascii="Adobe Garamond Pro" w:hAnsi="Adobe Garamond Pro" w:cs="Times New Roman"/>
          <w:sz w:val="24"/>
          <w:szCs w:val="24"/>
        </w:rPr>
        <w:t xml:space="preserve">work of one man. But what if </w:t>
      </w:r>
      <w:r w:rsidR="008C37D9" w:rsidRPr="00D47841">
        <w:rPr>
          <w:rFonts w:ascii="Adobe Garamond Pro" w:hAnsi="Adobe Garamond Pro" w:cs="Times New Roman"/>
          <w:sz w:val="24"/>
          <w:szCs w:val="24"/>
        </w:rPr>
        <w:t>that man w</w:t>
      </w:r>
      <w:r w:rsidR="007D4BF3" w:rsidRPr="00D47841">
        <w:rPr>
          <w:rFonts w:ascii="Adobe Garamond Pro" w:hAnsi="Adobe Garamond Pro" w:cs="Times New Roman"/>
          <w:sz w:val="24"/>
          <w:szCs w:val="24"/>
        </w:rPr>
        <w:t>ere</w:t>
      </w:r>
      <w:r w:rsidR="008C37D9" w:rsidRPr="00D47841">
        <w:rPr>
          <w:rFonts w:ascii="Adobe Garamond Pro" w:hAnsi="Adobe Garamond Pro" w:cs="Times New Roman"/>
          <w:sz w:val="24"/>
          <w:szCs w:val="24"/>
        </w:rPr>
        <w:t xml:space="preserve"> now</w:t>
      </w:r>
      <w:r w:rsidR="0058754A" w:rsidRPr="00D47841">
        <w:rPr>
          <w:rFonts w:ascii="Adobe Garamond Pro" w:hAnsi="Adobe Garamond Pro" w:cs="Times New Roman"/>
          <w:sz w:val="24"/>
          <w:szCs w:val="24"/>
        </w:rPr>
        <w:t xml:space="preserve"> inadvertently working to extinguish</w:t>
      </w:r>
      <w:r w:rsidR="00006F65" w:rsidRPr="00D47841">
        <w:rPr>
          <w:rFonts w:ascii="Adobe Garamond Pro" w:hAnsi="Adobe Garamond Pro" w:cs="Times New Roman"/>
          <w:sz w:val="24"/>
          <w:szCs w:val="24"/>
        </w:rPr>
        <w:t xml:space="preserve"> his own handiwork</w:t>
      </w:r>
      <w:r w:rsidR="009D1D12" w:rsidRPr="00D47841">
        <w:rPr>
          <w:rFonts w:ascii="Adobe Garamond Pro" w:hAnsi="Adobe Garamond Pro" w:cs="Times New Roman"/>
          <w:sz w:val="24"/>
          <w:szCs w:val="24"/>
        </w:rPr>
        <w:t>?</w:t>
      </w:r>
      <w:r w:rsidR="00EC6581" w:rsidRPr="00D47841">
        <w:rPr>
          <w:rFonts w:ascii="Adobe Garamond Pro" w:hAnsi="Adobe Garamond Pro" w:cs="Times New Roman"/>
          <w:sz w:val="24"/>
          <w:szCs w:val="24"/>
        </w:rPr>
        <w:t xml:space="preserve"> What if</w:t>
      </w:r>
      <w:r w:rsidR="007D4BF3" w:rsidRPr="00D47841">
        <w:rPr>
          <w:rFonts w:ascii="Adobe Garamond Pro" w:hAnsi="Adobe Garamond Pro" w:cs="Times New Roman"/>
          <w:sz w:val="24"/>
          <w:szCs w:val="24"/>
        </w:rPr>
        <w:t>,</w:t>
      </w:r>
      <w:r w:rsidR="00EC6581" w:rsidRPr="00D47841">
        <w:rPr>
          <w:rFonts w:ascii="Adobe Garamond Pro" w:hAnsi="Adobe Garamond Pro" w:cs="Times New Roman"/>
          <w:sz w:val="24"/>
          <w:szCs w:val="24"/>
        </w:rPr>
        <w:t xml:space="preserve"> in a</w:t>
      </w:r>
      <w:r w:rsidR="00E8141B" w:rsidRPr="00D47841">
        <w:rPr>
          <w:rFonts w:ascii="Adobe Garamond Pro" w:hAnsi="Adobe Garamond Pro" w:cs="Times New Roman"/>
          <w:sz w:val="24"/>
          <w:szCs w:val="24"/>
        </w:rPr>
        <w:t xml:space="preserve"> </w:t>
      </w:r>
      <w:r w:rsidRPr="00D47841">
        <w:rPr>
          <w:rFonts w:ascii="Adobe Garamond Pro" w:hAnsi="Adobe Garamond Pro" w:cs="Times New Roman"/>
          <w:sz w:val="24"/>
          <w:szCs w:val="24"/>
        </w:rPr>
        <w:t xml:space="preserve">valiant but </w:t>
      </w:r>
      <w:r w:rsidR="00E8141B" w:rsidRPr="00D47841">
        <w:rPr>
          <w:rFonts w:ascii="Adobe Garamond Pro" w:hAnsi="Adobe Garamond Pro" w:cs="Times New Roman"/>
          <w:sz w:val="24"/>
          <w:szCs w:val="24"/>
        </w:rPr>
        <w:t>strained</w:t>
      </w:r>
      <w:r w:rsidR="001037F9" w:rsidRPr="00D47841">
        <w:rPr>
          <w:rFonts w:ascii="Adobe Garamond Pro" w:hAnsi="Adobe Garamond Pro" w:cs="Times New Roman"/>
          <w:sz w:val="24"/>
          <w:szCs w:val="24"/>
        </w:rPr>
        <w:t xml:space="preserve"> </w:t>
      </w:r>
      <w:r w:rsidR="00EC6581" w:rsidRPr="00D47841">
        <w:rPr>
          <w:rFonts w:ascii="Adobe Garamond Pro" w:hAnsi="Adobe Garamond Pro" w:cs="Times New Roman"/>
          <w:sz w:val="24"/>
          <w:szCs w:val="24"/>
        </w:rPr>
        <w:t xml:space="preserve">effort to </w:t>
      </w:r>
      <w:r w:rsidR="001037F9" w:rsidRPr="00D47841">
        <w:rPr>
          <w:rFonts w:ascii="Adobe Garamond Pro" w:hAnsi="Adobe Garamond Pro" w:cs="Times New Roman"/>
          <w:sz w:val="24"/>
          <w:szCs w:val="24"/>
        </w:rPr>
        <w:t xml:space="preserve">mold </w:t>
      </w:r>
      <w:r w:rsidR="002577C4" w:rsidRPr="00D47841">
        <w:rPr>
          <w:rFonts w:ascii="Adobe Garamond Pro" w:hAnsi="Adobe Garamond Pro" w:cs="Times New Roman"/>
          <w:sz w:val="24"/>
          <w:szCs w:val="24"/>
        </w:rPr>
        <w:t xml:space="preserve">Supreme Court precedent into </w:t>
      </w:r>
      <w:r w:rsidR="0058754A" w:rsidRPr="00D47841">
        <w:rPr>
          <w:rFonts w:ascii="Adobe Garamond Pro" w:hAnsi="Adobe Garamond Pro" w:cs="Times New Roman"/>
          <w:sz w:val="24"/>
          <w:szCs w:val="24"/>
        </w:rPr>
        <w:t>rules of the road for an Article V convention</w:t>
      </w:r>
      <w:r w:rsidR="00EC6581" w:rsidRPr="00D47841">
        <w:rPr>
          <w:rFonts w:ascii="Adobe Garamond Pro" w:hAnsi="Adobe Garamond Pro" w:cs="Times New Roman"/>
          <w:sz w:val="24"/>
          <w:szCs w:val="24"/>
        </w:rPr>
        <w:t xml:space="preserve">, </w:t>
      </w:r>
      <w:r w:rsidR="002577C4" w:rsidRPr="00D47841">
        <w:rPr>
          <w:rFonts w:ascii="Adobe Garamond Pro" w:hAnsi="Adobe Garamond Pro" w:cs="Times New Roman"/>
          <w:sz w:val="24"/>
          <w:szCs w:val="24"/>
        </w:rPr>
        <w:t>that man</w:t>
      </w:r>
      <w:r w:rsidR="00EC6581" w:rsidRPr="00D47841">
        <w:rPr>
          <w:rFonts w:ascii="Adobe Garamond Pro" w:hAnsi="Adobe Garamond Pro" w:cs="Times New Roman"/>
          <w:sz w:val="24"/>
          <w:szCs w:val="24"/>
        </w:rPr>
        <w:t xml:space="preserve"> fumbled a huge opportunity to </w:t>
      </w:r>
      <w:r w:rsidR="0082729F" w:rsidRPr="00D47841">
        <w:rPr>
          <w:rFonts w:ascii="Adobe Garamond Pro" w:hAnsi="Adobe Garamond Pro" w:cs="Times New Roman"/>
          <w:sz w:val="24"/>
          <w:szCs w:val="24"/>
        </w:rPr>
        <w:t>vindicate</w:t>
      </w:r>
      <w:r w:rsidR="00EC6581" w:rsidRPr="00D47841">
        <w:rPr>
          <w:rFonts w:ascii="Adobe Garamond Pro" w:hAnsi="Adobe Garamond Pro" w:cs="Times New Roman"/>
          <w:sz w:val="24"/>
          <w:szCs w:val="24"/>
        </w:rPr>
        <w:t xml:space="preserve"> the Founders’</w:t>
      </w:r>
      <w:r w:rsidR="002577C4" w:rsidRPr="00D47841">
        <w:rPr>
          <w:rFonts w:ascii="Adobe Garamond Pro" w:hAnsi="Adobe Garamond Pro" w:cs="Times New Roman"/>
          <w:sz w:val="24"/>
          <w:szCs w:val="24"/>
        </w:rPr>
        <w:t xml:space="preserve"> intent from</w:t>
      </w:r>
      <w:r w:rsidR="00EC6581" w:rsidRPr="00D47841">
        <w:rPr>
          <w:rFonts w:ascii="Adobe Garamond Pro" w:hAnsi="Adobe Garamond Pro" w:cs="Times New Roman"/>
          <w:sz w:val="24"/>
          <w:szCs w:val="24"/>
        </w:rPr>
        <w:t xml:space="preserve"> a clean slate?</w:t>
      </w:r>
    </w:p>
    <w:p w14:paraId="76B646CD" w14:textId="77777777" w:rsidR="009D1D12" w:rsidRPr="00D47841" w:rsidRDefault="009D1D12" w:rsidP="009748F8">
      <w:pPr>
        <w:jc w:val="both"/>
        <w:rPr>
          <w:rFonts w:ascii="Adobe Garamond Pro" w:hAnsi="Adobe Garamond Pro" w:cs="Times New Roman"/>
          <w:sz w:val="24"/>
          <w:szCs w:val="24"/>
        </w:rPr>
      </w:pPr>
    </w:p>
    <w:p w14:paraId="49C723E7" w14:textId="77777777" w:rsidR="0082729F" w:rsidRPr="00D47841" w:rsidRDefault="009D1D12" w:rsidP="009748F8">
      <w:pPr>
        <w:jc w:val="both"/>
        <w:rPr>
          <w:rFonts w:ascii="Adobe Garamond Pro" w:hAnsi="Adobe Garamond Pro" w:cs="Times New Roman"/>
          <w:sz w:val="24"/>
          <w:szCs w:val="24"/>
        </w:rPr>
      </w:pPr>
      <w:r w:rsidRPr="00D47841">
        <w:rPr>
          <w:rFonts w:ascii="Adobe Garamond Pro" w:hAnsi="Adobe Garamond Pro" w:cs="Times New Roman"/>
          <w:sz w:val="24"/>
          <w:szCs w:val="24"/>
        </w:rPr>
        <w:t>Sadly, that appears to be happening.</w:t>
      </w:r>
    </w:p>
    <w:p w14:paraId="77B93174" w14:textId="77777777" w:rsidR="009D1D12" w:rsidRPr="00D47841" w:rsidRDefault="009D1D12" w:rsidP="009748F8">
      <w:pPr>
        <w:jc w:val="both"/>
        <w:rPr>
          <w:rFonts w:ascii="Adobe Garamond Pro" w:hAnsi="Adobe Garamond Pro" w:cs="Times New Roman"/>
          <w:sz w:val="24"/>
          <w:szCs w:val="24"/>
        </w:rPr>
      </w:pPr>
    </w:p>
    <w:p w14:paraId="45847C15" w14:textId="1E100773" w:rsidR="00CC0E17" w:rsidRPr="00D47841" w:rsidRDefault="002D6CAC" w:rsidP="009748F8">
      <w:pPr>
        <w:jc w:val="both"/>
        <w:rPr>
          <w:rFonts w:ascii="Adobe Garamond Pro" w:hAnsi="Adobe Garamond Pro" w:cs="Times New Roman"/>
          <w:sz w:val="24"/>
          <w:szCs w:val="24"/>
        </w:rPr>
      </w:pPr>
      <w:r w:rsidRPr="00D47841">
        <w:rPr>
          <w:rFonts w:ascii="Adobe Garamond Pro" w:hAnsi="Adobe Garamond Pro" w:cs="Times New Roman"/>
          <w:sz w:val="24"/>
          <w:szCs w:val="24"/>
        </w:rPr>
        <w:t>In the last couple of weeks of 2015</w:t>
      </w:r>
      <w:r w:rsidR="00EC6581" w:rsidRPr="00D47841">
        <w:rPr>
          <w:rFonts w:ascii="Adobe Garamond Pro" w:hAnsi="Adobe Garamond Pro" w:cs="Times New Roman"/>
          <w:sz w:val="24"/>
          <w:szCs w:val="24"/>
        </w:rPr>
        <w:t xml:space="preserve">, </w:t>
      </w:r>
      <w:r w:rsidR="007D4BF3" w:rsidRPr="00D47841">
        <w:rPr>
          <w:rFonts w:ascii="Adobe Garamond Pro" w:hAnsi="Adobe Garamond Pro" w:cs="Times New Roman"/>
          <w:sz w:val="24"/>
          <w:szCs w:val="24"/>
        </w:rPr>
        <w:t xml:space="preserve">Rob Natelson published </w:t>
      </w:r>
      <w:r w:rsidR="00EC6581" w:rsidRPr="00D47841">
        <w:rPr>
          <w:rFonts w:ascii="Adobe Garamond Pro" w:hAnsi="Adobe Garamond Pro" w:cs="Times New Roman"/>
          <w:sz w:val="24"/>
          <w:szCs w:val="24"/>
        </w:rPr>
        <w:t xml:space="preserve">an article </w:t>
      </w:r>
      <w:r w:rsidR="007D4BF3" w:rsidRPr="00D47841">
        <w:rPr>
          <w:rFonts w:ascii="Adobe Garamond Pro" w:hAnsi="Adobe Garamond Pro" w:cs="Times New Roman"/>
          <w:sz w:val="24"/>
          <w:szCs w:val="24"/>
        </w:rPr>
        <w:t xml:space="preserve">in the </w:t>
      </w:r>
      <w:r w:rsidR="007D4BF3" w:rsidRPr="00B46B15">
        <w:rPr>
          <w:rFonts w:ascii="Adobe Garamond Pro" w:hAnsi="Adobe Garamond Pro" w:cs="Times New Roman"/>
          <w:i/>
          <w:sz w:val="24"/>
          <w:szCs w:val="24"/>
        </w:rPr>
        <w:t>American Thinker</w:t>
      </w:r>
      <w:r w:rsidR="007D4BF3" w:rsidRPr="00D47841">
        <w:rPr>
          <w:rFonts w:ascii="Adobe Garamond Pro" w:hAnsi="Adobe Garamond Pro" w:cs="Times New Roman"/>
          <w:sz w:val="24"/>
          <w:szCs w:val="24"/>
        </w:rPr>
        <w:t xml:space="preserve"> in which he </w:t>
      </w:r>
      <w:r w:rsidR="004B6E1C" w:rsidRPr="00D47841">
        <w:rPr>
          <w:rFonts w:ascii="Adobe Garamond Pro" w:hAnsi="Adobe Garamond Pro" w:cs="Times New Roman"/>
          <w:sz w:val="24"/>
          <w:szCs w:val="24"/>
        </w:rPr>
        <w:t>assert</w:t>
      </w:r>
      <w:r w:rsidR="007D4BF3" w:rsidRPr="00D47841">
        <w:rPr>
          <w:rFonts w:ascii="Adobe Garamond Pro" w:hAnsi="Adobe Garamond Pro" w:cs="Times New Roman"/>
          <w:sz w:val="24"/>
          <w:szCs w:val="24"/>
        </w:rPr>
        <w:t>ed</w:t>
      </w:r>
      <w:r w:rsidR="004B6E1C" w:rsidRPr="00D47841">
        <w:rPr>
          <w:rFonts w:ascii="Adobe Garamond Pro" w:hAnsi="Adobe Garamond Pro" w:cs="Times New Roman"/>
          <w:sz w:val="24"/>
          <w:szCs w:val="24"/>
        </w:rPr>
        <w:t xml:space="preserve"> that the Tenth Amendment does not </w:t>
      </w:r>
      <w:r w:rsidR="006D5007" w:rsidRPr="00D47841">
        <w:rPr>
          <w:rFonts w:ascii="Adobe Garamond Pro" w:hAnsi="Adobe Garamond Pro" w:cs="Times New Roman"/>
          <w:sz w:val="24"/>
          <w:szCs w:val="24"/>
        </w:rPr>
        <w:t>“</w:t>
      </w:r>
      <w:r w:rsidR="004B6E1C" w:rsidRPr="00D47841">
        <w:rPr>
          <w:rFonts w:ascii="Adobe Garamond Pro" w:hAnsi="Adobe Garamond Pro" w:cs="Times New Roman"/>
          <w:sz w:val="24"/>
          <w:szCs w:val="24"/>
        </w:rPr>
        <w:t>give</w:t>
      </w:r>
      <w:r w:rsidR="006D5007" w:rsidRPr="00D47841">
        <w:rPr>
          <w:rFonts w:ascii="Adobe Garamond Pro" w:hAnsi="Adobe Garamond Pro" w:cs="Times New Roman"/>
          <w:sz w:val="24"/>
          <w:szCs w:val="24"/>
        </w:rPr>
        <w:t>”</w:t>
      </w:r>
      <w:r w:rsidR="004B6E1C" w:rsidRPr="00D47841">
        <w:rPr>
          <w:rFonts w:ascii="Adobe Garamond Pro" w:hAnsi="Adobe Garamond Pro" w:cs="Times New Roman"/>
          <w:sz w:val="24"/>
          <w:szCs w:val="24"/>
        </w:rPr>
        <w:t xml:space="preserve"> power to state legislatures under Article V of the U.S. Constitution.</w:t>
      </w:r>
      <w:r w:rsidR="00CC0E17" w:rsidRPr="00D47841">
        <w:rPr>
          <w:rStyle w:val="EndnoteReference"/>
          <w:rFonts w:ascii="Adobe Garamond Pro" w:hAnsi="Adobe Garamond Pro" w:cs="Times New Roman"/>
          <w:sz w:val="24"/>
          <w:szCs w:val="24"/>
        </w:rPr>
        <w:endnoteReference w:id="1"/>
      </w:r>
      <w:r w:rsidR="00CC0E17" w:rsidRPr="00D47841">
        <w:rPr>
          <w:rFonts w:ascii="Adobe Garamond Pro" w:hAnsi="Adobe Garamond Pro" w:cs="Times New Roman"/>
          <w:sz w:val="24"/>
          <w:szCs w:val="24"/>
        </w:rPr>
        <w:t xml:space="preserve"> This declaration </w:t>
      </w:r>
      <w:r w:rsidR="004F118D">
        <w:rPr>
          <w:rFonts w:ascii="Adobe Garamond Pro" w:hAnsi="Adobe Garamond Pro" w:cs="Times New Roman"/>
          <w:sz w:val="24"/>
          <w:szCs w:val="24"/>
        </w:rPr>
        <w:t>both attacked a strawman</w:t>
      </w:r>
      <w:r w:rsidR="00CC0E17" w:rsidRPr="00D47841">
        <w:rPr>
          <w:rFonts w:ascii="Adobe Garamond Pro" w:hAnsi="Adobe Garamond Pro" w:cs="Times New Roman"/>
          <w:sz w:val="24"/>
          <w:szCs w:val="24"/>
        </w:rPr>
        <w:t xml:space="preserve"> and </w:t>
      </w:r>
      <w:r w:rsidR="004F118D">
        <w:rPr>
          <w:rFonts w:ascii="Adobe Garamond Pro" w:hAnsi="Adobe Garamond Pro" w:cs="Times New Roman"/>
          <w:sz w:val="24"/>
          <w:szCs w:val="24"/>
        </w:rPr>
        <w:t xml:space="preserve">was </w:t>
      </w:r>
      <w:r w:rsidR="00CC0E17" w:rsidRPr="00D47841">
        <w:rPr>
          <w:rFonts w:ascii="Adobe Garamond Pro" w:hAnsi="Adobe Garamond Pro" w:cs="Times New Roman"/>
          <w:sz w:val="24"/>
          <w:szCs w:val="24"/>
        </w:rPr>
        <w:t xml:space="preserve">potentially misleading. It </w:t>
      </w:r>
      <w:r w:rsidR="004F118D">
        <w:rPr>
          <w:rFonts w:ascii="Adobe Garamond Pro" w:hAnsi="Adobe Garamond Pro" w:cs="Times New Roman"/>
          <w:sz w:val="24"/>
          <w:szCs w:val="24"/>
        </w:rPr>
        <w:t>attacked a strawman</w:t>
      </w:r>
      <w:r w:rsidR="00CC0E17" w:rsidRPr="00D47841">
        <w:rPr>
          <w:rFonts w:ascii="Adobe Garamond Pro" w:hAnsi="Adobe Garamond Pro" w:cs="Times New Roman"/>
          <w:sz w:val="24"/>
          <w:szCs w:val="24"/>
        </w:rPr>
        <w:t xml:space="preserve"> because, of course, the Tenth Amendment does not “give” power to anything. It guarantees the preservation of the sovereign powers of the states or the people to the extent that they are not limited or superseded by the delegated powers of the federal government. For this reason, it is a mere truism to say that the Tenth Amendment does not “give” power to state legislatures under Article V.</w:t>
      </w:r>
    </w:p>
    <w:p w14:paraId="0699027B" w14:textId="77777777" w:rsidR="00CC0E17" w:rsidRPr="00D47841" w:rsidRDefault="00CC0E17" w:rsidP="009748F8">
      <w:pPr>
        <w:jc w:val="both"/>
        <w:rPr>
          <w:rFonts w:ascii="Adobe Garamond Pro" w:hAnsi="Adobe Garamond Pro" w:cs="Times New Roman"/>
          <w:sz w:val="24"/>
          <w:szCs w:val="24"/>
        </w:rPr>
      </w:pPr>
    </w:p>
    <w:p w14:paraId="71F9BC6D" w14:textId="0C2F2648" w:rsidR="00CC0E17" w:rsidRPr="00D47841" w:rsidRDefault="00CC0E17" w:rsidP="009748F8">
      <w:pPr>
        <w:jc w:val="both"/>
        <w:rPr>
          <w:rFonts w:ascii="Adobe Garamond Pro" w:hAnsi="Adobe Garamond Pro" w:cs="Times New Roman"/>
          <w:sz w:val="24"/>
          <w:szCs w:val="24"/>
        </w:rPr>
      </w:pPr>
      <w:r w:rsidRPr="00D47841">
        <w:rPr>
          <w:rFonts w:ascii="Adobe Garamond Pro" w:hAnsi="Adobe Garamond Pro" w:cs="Times New Roman"/>
          <w:sz w:val="24"/>
          <w:szCs w:val="24"/>
        </w:rPr>
        <w:t xml:space="preserve">But such a truism is potentially misleading when written by a leading Article V convention advocate. It appears to disclaim a role for state sovereignty in organizing an Article V convention. And such a disclaimer invites Congress to fill what some perceive to be the yawning textual gaps of Article V, including its lack of express </w:t>
      </w:r>
      <w:r w:rsidR="007D4BF3" w:rsidRPr="00D47841">
        <w:rPr>
          <w:rFonts w:ascii="Adobe Garamond Pro" w:hAnsi="Adobe Garamond Pro" w:cs="Times New Roman"/>
          <w:sz w:val="24"/>
          <w:szCs w:val="24"/>
        </w:rPr>
        <w:t xml:space="preserve">guidance </w:t>
      </w:r>
      <w:r w:rsidRPr="00D47841">
        <w:rPr>
          <w:rFonts w:ascii="Adobe Garamond Pro" w:hAnsi="Adobe Garamond Pro" w:cs="Times New Roman"/>
          <w:sz w:val="24"/>
          <w:szCs w:val="24"/>
        </w:rPr>
        <w:t>on the scope of an Article V convention agenda, the nature of its convention rules, and the identit</w:t>
      </w:r>
      <w:r w:rsidR="007D4BF3" w:rsidRPr="00D47841">
        <w:rPr>
          <w:rFonts w:ascii="Adobe Garamond Pro" w:hAnsi="Adobe Garamond Pro" w:cs="Times New Roman"/>
          <w:sz w:val="24"/>
          <w:szCs w:val="24"/>
        </w:rPr>
        <w:t>ies</w:t>
      </w:r>
      <w:r w:rsidRPr="00D47841">
        <w:rPr>
          <w:rFonts w:ascii="Adobe Garamond Pro" w:hAnsi="Adobe Garamond Pro" w:cs="Times New Roman"/>
          <w:sz w:val="24"/>
          <w:szCs w:val="24"/>
        </w:rPr>
        <w:t xml:space="preserve"> of convention participants. Congress, after all, is the natural repository of legislative authority for all things federal. If the Tenth Amendment cannot be invoked to fill those gaps, it is pretty obvious who will.</w:t>
      </w:r>
    </w:p>
    <w:p w14:paraId="14BEA626" w14:textId="77777777" w:rsidR="00CC0E17" w:rsidRPr="00D47841" w:rsidRDefault="00CC0E17" w:rsidP="009748F8">
      <w:pPr>
        <w:jc w:val="both"/>
        <w:rPr>
          <w:rFonts w:ascii="Adobe Garamond Pro" w:hAnsi="Adobe Garamond Pro" w:cs="Times New Roman"/>
          <w:sz w:val="24"/>
          <w:szCs w:val="24"/>
        </w:rPr>
      </w:pPr>
    </w:p>
    <w:p w14:paraId="70F8BFB7" w14:textId="33340343" w:rsidR="00CC0E17" w:rsidRPr="00D47841" w:rsidRDefault="00CC0E17" w:rsidP="009748F8">
      <w:pPr>
        <w:jc w:val="both"/>
        <w:rPr>
          <w:rFonts w:ascii="Adobe Garamond Pro" w:hAnsi="Adobe Garamond Pro" w:cs="Times New Roman"/>
          <w:sz w:val="24"/>
          <w:szCs w:val="24"/>
        </w:rPr>
      </w:pPr>
      <w:r w:rsidRPr="00D47841">
        <w:rPr>
          <w:rFonts w:ascii="Adobe Garamond Pro" w:hAnsi="Adobe Garamond Pro" w:cs="Times New Roman"/>
          <w:sz w:val="24"/>
          <w:szCs w:val="24"/>
        </w:rPr>
        <w:t>Fortunately, nothing could be further from the truth than the notion that state sovereignty has nothing to do with Article V. How do we know this? Because the Founders said so.</w:t>
      </w:r>
    </w:p>
    <w:p w14:paraId="11DFCD5D" w14:textId="77777777" w:rsidR="00CC0E17" w:rsidRPr="00D47841" w:rsidRDefault="00CC0E17" w:rsidP="009748F8">
      <w:pPr>
        <w:jc w:val="both"/>
        <w:rPr>
          <w:rFonts w:ascii="Adobe Garamond Pro" w:hAnsi="Adobe Garamond Pro" w:cs="Times New Roman"/>
          <w:sz w:val="24"/>
          <w:szCs w:val="24"/>
        </w:rPr>
      </w:pPr>
    </w:p>
    <w:p w14:paraId="51D62241" w14:textId="07DC40D9" w:rsidR="00CC0E17" w:rsidRPr="00D47841" w:rsidRDefault="00CC0E17" w:rsidP="009748F8">
      <w:pPr>
        <w:jc w:val="both"/>
        <w:rPr>
          <w:rFonts w:ascii="Adobe Garamond Pro" w:hAnsi="Adobe Garamond Pro" w:cs="Times New Roman"/>
          <w:sz w:val="24"/>
          <w:szCs w:val="24"/>
        </w:rPr>
      </w:pPr>
      <w:r w:rsidRPr="00D47841">
        <w:rPr>
          <w:rFonts w:ascii="Adobe Garamond Pro" w:hAnsi="Adobe Garamond Pro" w:cs="Times New Roman"/>
          <w:sz w:val="24"/>
          <w:szCs w:val="24"/>
        </w:rPr>
        <w:t xml:space="preserve">In Federalist 43, James Madison wrote </w:t>
      </w:r>
      <w:r w:rsidR="007D4BF3" w:rsidRPr="00D47841">
        <w:rPr>
          <w:rFonts w:ascii="Adobe Garamond Pro" w:hAnsi="Adobe Garamond Pro" w:cs="Times New Roman"/>
          <w:sz w:val="24"/>
          <w:szCs w:val="24"/>
        </w:rPr>
        <w:t xml:space="preserve">that </w:t>
      </w:r>
      <w:r w:rsidRPr="00D47841">
        <w:rPr>
          <w:rFonts w:ascii="Adobe Garamond Pro" w:hAnsi="Adobe Garamond Pro" w:cs="Times New Roman"/>
          <w:sz w:val="24"/>
          <w:szCs w:val="24"/>
        </w:rPr>
        <w:t>Article V “equally enables the general and the State governments to originate the amendment of errors.”</w:t>
      </w:r>
      <w:r w:rsidRPr="00D47841">
        <w:rPr>
          <w:rStyle w:val="EndnoteReference"/>
          <w:rFonts w:ascii="Adobe Garamond Pro" w:hAnsi="Adobe Garamond Pro" w:cs="Times New Roman"/>
          <w:sz w:val="24"/>
          <w:szCs w:val="24"/>
        </w:rPr>
        <w:endnoteReference w:id="2"/>
      </w:r>
      <w:r w:rsidRPr="00D47841">
        <w:rPr>
          <w:rFonts w:ascii="Adobe Garamond Pro" w:hAnsi="Adobe Garamond Pro" w:cs="Times New Roman"/>
          <w:sz w:val="24"/>
          <w:szCs w:val="24"/>
        </w:rPr>
        <w:t xml:space="preserve"> </w:t>
      </w:r>
      <w:r w:rsidR="007D4BF3" w:rsidRPr="00D47841">
        <w:rPr>
          <w:rFonts w:ascii="Adobe Garamond Pro" w:hAnsi="Adobe Garamond Pro" w:cs="Times New Roman"/>
          <w:sz w:val="24"/>
          <w:szCs w:val="24"/>
        </w:rPr>
        <w:t>T</w:t>
      </w:r>
      <w:r w:rsidRPr="00D47841">
        <w:rPr>
          <w:rFonts w:ascii="Adobe Garamond Pro" w:hAnsi="Adobe Garamond Pro" w:cs="Times New Roman"/>
          <w:sz w:val="24"/>
          <w:szCs w:val="24"/>
        </w:rPr>
        <w:t>his statement was in reference to “State governments,” not what Natelson calls “independent assemblies” performing a federal function. In Federalist 85, Alexander Hamilton emphasized that “alterations” in the Constitution may be “effected by nine States” which would “set on foot the measure” through their application.</w:t>
      </w:r>
      <w:r w:rsidRPr="00D47841">
        <w:rPr>
          <w:rStyle w:val="EndnoteReference"/>
          <w:rFonts w:ascii="Adobe Garamond Pro" w:hAnsi="Adobe Garamond Pro" w:cs="Times New Roman"/>
          <w:sz w:val="24"/>
          <w:szCs w:val="24"/>
        </w:rPr>
        <w:endnoteReference w:id="3"/>
      </w:r>
      <w:r w:rsidRPr="00D47841">
        <w:rPr>
          <w:rFonts w:ascii="Adobe Garamond Pro" w:hAnsi="Adobe Garamond Pro" w:cs="Times New Roman"/>
          <w:sz w:val="24"/>
          <w:szCs w:val="24"/>
        </w:rPr>
        <w:t xml:space="preserve"> George Nicholas, the Constitution’s leading advocate during the Virginia ratification convention, declared “it is natural to conclude that those States who will apply for calling the Convention, will concur in the ratification of the proposed amendments.”</w:t>
      </w:r>
      <w:r w:rsidRPr="00D47841">
        <w:rPr>
          <w:rStyle w:val="EndnoteReference"/>
          <w:rFonts w:ascii="Adobe Garamond Pro" w:hAnsi="Adobe Garamond Pro" w:cs="Times New Roman"/>
          <w:sz w:val="24"/>
          <w:szCs w:val="24"/>
        </w:rPr>
        <w:endnoteReference w:id="4"/>
      </w:r>
      <w:r w:rsidRPr="00D47841">
        <w:rPr>
          <w:rFonts w:ascii="Adobe Garamond Pro" w:hAnsi="Adobe Garamond Pro" w:cs="Times New Roman"/>
          <w:sz w:val="24"/>
          <w:szCs w:val="24"/>
        </w:rPr>
        <w:t xml:space="preserve"> Finally, George Washington wrote, </w:t>
      </w:r>
      <w:r w:rsidRPr="00D47841">
        <w:rPr>
          <w:rFonts w:ascii="Adobe Garamond Pro" w:hAnsi="Adobe Garamond Pro" w:cs="Times New Roman"/>
          <w:sz w:val="24"/>
          <w:szCs w:val="24"/>
        </w:rPr>
        <w:lastRenderedPageBreak/>
        <w:t>“It should be remembered that a constitutional door is open for such amendments as shall be thought necessary by nine States.”</w:t>
      </w:r>
      <w:r w:rsidRPr="00D47841">
        <w:rPr>
          <w:rStyle w:val="EndnoteReference"/>
          <w:rFonts w:ascii="Adobe Garamond Pro" w:hAnsi="Adobe Garamond Pro" w:cs="Times New Roman"/>
          <w:sz w:val="24"/>
          <w:szCs w:val="24"/>
        </w:rPr>
        <w:endnoteReference w:id="5"/>
      </w:r>
    </w:p>
    <w:p w14:paraId="1EECFDAB" w14:textId="77777777" w:rsidR="00CC0E17" w:rsidRPr="00D47841" w:rsidRDefault="00CC0E17" w:rsidP="009748F8">
      <w:pPr>
        <w:jc w:val="both"/>
        <w:rPr>
          <w:rFonts w:ascii="Adobe Garamond Pro" w:hAnsi="Adobe Garamond Pro" w:cs="Times New Roman"/>
          <w:sz w:val="24"/>
          <w:szCs w:val="24"/>
        </w:rPr>
      </w:pPr>
    </w:p>
    <w:p w14:paraId="04CC4BBC" w14:textId="27B06A26" w:rsidR="00CC0E17" w:rsidRPr="00D47841" w:rsidRDefault="00CC0E17" w:rsidP="009748F8">
      <w:pPr>
        <w:jc w:val="both"/>
        <w:rPr>
          <w:rFonts w:ascii="Adobe Garamond Pro" w:hAnsi="Adobe Garamond Pro" w:cs="Times New Roman"/>
          <w:sz w:val="24"/>
          <w:szCs w:val="24"/>
        </w:rPr>
      </w:pPr>
      <w:r w:rsidRPr="00D47841">
        <w:rPr>
          <w:rFonts w:ascii="Adobe Garamond Pro" w:hAnsi="Adobe Garamond Pro" w:cs="Times New Roman"/>
          <w:sz w:val="24"/>
          <w:szCs w:val="24"/>
        </w:rPr>
        <w:t xml:space="preserve">In </w:t>
      </w:r>
      <w:r w:rsidR="007D4BF3" w:rsidRPr="00D47841">
        <w:rPr>
          <w:rFonts w:ascii="Adobe Garamond Pro" w:hAnsi="Adobe Garamond Pro" w:cs="Times New Roman"/>
          <w:sz w:val="24"/>
          <w:szCs w:val="24"/>
        </w:rPr>
        <w:t>each of these quotations</w:t>
      </w:r>
      <w:r w:rsidRPr="00D47841">
        <w:rPr>
          <w:rFonts w:ascii="Adobe Garamond Pro" w:hAnsi="Adobe Garamond Pro" w:cs="Times New Roman"/>
          <w:sz w:val="24"/>
          <w:szCs w:val="24"/>
        </w:rPr>
        <w:t xml:space="preserve">, the reference is plainly to “states” </w:t>
      </w:r>
      <w:r w:rsidRPr="00D47841">
        <w:rPr>
          <w:rFonts w:ascii="Adobe Garamond Pro" w:hAnsi="Adobe Garamond Pro" w:cs="Times New Roman"/>
          <w:i/>
          <w:sz w:val="24"/>
          <w:szCs w:val="24"/>
        </w:rPr>
        <w:t xml:space="preserve">as states </w:t>
      </w:r>
      <w:r w:rsidRPr="00D47841">
        <w:rPr>
          <w:rFonts w:ascii="Adobe Garamond Pro" w:hAnsi="Adobe Garamond Pro" w:cs="Times New Roman"/>
          <w:sz w:val="24"/>
          <w:szCs w:val="24"/>
        </w:rPr>
        <w:t>using the convention process to propose the amendments they desired. There is no way to assume the truth of the Founders’ representations about Article V without also assuming that the sovereign powers of the states—those guaranteed by the Tenth Amendment—would have a role in directing the convention mode of proposing amendments under Article V. Indeed, the plain text of Article V leaves no other natural interpretative possibility open.</w:t>
      </w:r>
    </w:p>
    <w:p w14:paraId="2C823122" w14:textId="77777777" w:rsidR="00CC0E17" w:rsidRPr="00D47841" w:rsidRDefault="00CC0E17" w:rsidP="009748F8">
      <w:pPr>
        <w:jc w:val="both"/>
        <w:rPr>
          <w:rFonts w:ascii="Adobe Garamond Pro" w:hAnsi="Adobe Garamond Pro" w:cs="Times New Roman"/>
          <w:sz w:val="24"/>
          <w:szCs w:val="24"/>
        </w:rPr>
      </w:pPr>
    </w:p>
    <w:p w14:paraId="19A3A3EB" w14:textId="58ED6901" w:rsidR="00CC0E17" w:rsidRPr="00D47841" w:rsidRDefault="00CC0E17" w:rsidP="009748F8">
      <w:pPr>
        <w:jc w:val="both"/>
        <w:rPr>
          <w:rFonts w:ascii="Adobe Garamond Pro" w:hAnsi="Adobe Garamond Pro" w:cs="Times New Roman"/>
          <w:sz w:val="24"/>
          <w:szCs w:val="24"/>
        </w:rPr>
      </w:pPr>
      <w:r w:rsidRPr="00D47841">
        <w:rPr>
          <w:rFonts w:ascii="Adobe Garamond Pro" w:hAnsi="Adobe Garamond Pro" w:cs="Times New Roman"/>
          <w:sz w:val="24"/>
          <w:szCs w:val="24"/>
        </w:rPr>
        <w:t>Specifically, Article V says “on the Application” of two-thirds of the state legislatures, Congress “shall call a convention for proposing amendments.”</w:t>
      </w:r>
      <w:r w:rsidRPr="00D47841">
        <w:rPr>
          <w:rStyle w:val="EndnoteReference"/>
          <w:rFonts w:ascii="Adobe Garamond Pro" w:hAnsi="Adobe Garamond Pro" w:cs="Times New Roman"/>
          <w:sz w:val="24"/>
          <w:szCs w:val="24"/>
        </w:rPr>
        <w:endnoteReference w:id="6"/>
      </w:r>
      <w:r w:rsidRPr="00D47841">
        <w:rPr>
          <w:rFonts w:ascii="Adobe Garamond Pro" w:hAnsi="Adobe Garamond Pro" w:cs="Times New Roman"/>
          <w:sz w:val="24"/>
          <w:szCs w:val="24"/>
        </w:rPr>
        <w:t xml:space="preserve"> Grammatically, no express grant of power to make the requisite “Application” is conferred by Article V on state legislatures. Rather, the “Application” power is presumed to exist, which presumption implies that it references a reserved power. </w:t>
      </w:r>
    </w:p>
    <w:p w14:paraId="35D43B8C" w14:textId="77777777" w:rsidR="00CC0E17" w:rsidRPr="00D47841" w:rsidRDefault="00CC0E17" w:rsidP="009748F8">
      <w:pPr>
        <w:jc w:val="both"/>
        <w:rPr>
          <w:rFonts w:ascii="Adobe Garamond Pro" w:hAnsi="Adobe Garamond Pro" w:cs="Times New Roman"/>
          <w:sz w:val="24"/>
          <w:szCs w:val="24"/>
        </w:rPr>
      </w:pPr>
    </w:p>
    <w:p w14:paraId="59CA4592" w14:textId="2F6999BD" w:rsidR="00CC0E17" w:rsidRPr="00D47841" w:rsidRDefault="00CC0E17" w:rsidP="009748F8">
      <w:pPr>
        <w:jc w:val="both"/>
        <w:rPr>
          <w:rFonts w:ascii="Adobe Garamond Pro" w:hAnsi="Adobe Garamond Pro" w:cs="Times New Roman"/>
          <w:sz w:val="24"/>
          <w:szCs w:val="24"/>
        </w:rPr>
      </w:pPr>
      <w:r w:rsidRPr="00D47841">
        <w:rPr>
          <w:rFonts w:ascii="Adobe Garamond Pro" w:hAnsi="Adobe Garamond Pro" w:cs="Times New Roman"/>
          <w:sz w:val="24"/>
          <w:szCs w:val="24"/>
        </w:rPr>
        <w:t>This is not surprising because the pre-constitutional Congressional Record includes numerous instances of states making applications through their legislatures to the Continental Congress for various things.</w:t>
      </w:r>
      <w:r w:rsidRPr="00D47841">
        <w:rPr>
          <w:rStyle w:val="EndnoteReference"/>
          <w:rFonts w:ascii="Adobe Garamond Pro" w:hAnsi="Adobe Garamond Pro" w:cs="Times New Roman"/>
          <w:sz w:val="24"/>
          <w:szCs w:val="24"/>
        </w:rPr>
        <w:endnoteReference w:id="7"/>
      </w:r>
      <w:r w:rsidRPr="00D47841">
        <w:rPr>
          <w:rFonts w:ascii="Adobe Garamond Pro" w:hAnsi="Adobe Garamond Pro" w:cs="Times New Roman"/>
          <w:sz w:val="24"/>
          <w:szCs w:val="24"/>
        </w:rPr>
        <w:t xml:space="preserve"> An “application” was simply a type of petition within the ordinary legislative power of the state. The power to petition Congress for anything, including to amend the constitution by convention, is thus naturally regarded as inherent in state sovereignty. It did not require further articulation in Article V. </w:t>
      </w:r>
    </w:p>
    <w:p w14:paraId="0574D718" w14:textId="77777777" w:rsidR="00CC0E17" w:rsidRPr="00D47841" w:rsidRDefault="00CC0E17" w:rsidP="009748F8">
      <w:pPr>
        <w:jc w:val="both"/>
        <w:rPr>
          <w:rFonts w:ascii="Adobe Garamond Pro" w:hAnsi="Adobe Garamond Pro" w:cs="Times New Roman"/>
          <w:sz w:val="24"/>
          <w:szCs w:val="24"/>
        </w:rPr>
      </w:pPr>
    </w:p>
    <w:p w14:paraId="3741D52C" w14:textId="7801F3F9" w:rsidR="00CC0E17" w:rsidRPr="00D47841" w:rsidRDefault="00CC0E17" w:rsidP="009748F8">
      <w:pPr>
        <w:jc w:val="both"/>
        <w:rPr>
          <w:rFonts w:ascii="Adobe Garamond Pro" w:hAnsi="Adobe Garamond Pro" w:cs="Times New Roman"/>
          <w:sz w:val="24"/>
          <w:szCs w:val="24"/>
        </w:rPr>
      </w:pPr>
      <w:r w:rsidRPr="00D47841">
        <w:rPr>
          <w:rFonts w:ascii="Adobe Garamond Pro" w:hAnsi="Adobe Garamond Pro" w:cs="Times New Roman"/>
          <w:sz w:val="24"/>
          <w:szCs w:val="24"/>
        </w:rPr>
        <w:t>The ability of states to set the agenda for an Article V convention through what they request in their application is confirmed by two other textual elements of the Constitution. First, it is a bit of a misnomer to say Congress was delegated a “call power.” Article V imposes a mandate or “peremptory”</w:t>
      </w:r>
      <w:r w:rsidRPr="00D47841">
        <w:rPr>
          <w:rStyle w:val="EndnoteReference"/>
          <w:rFonts w:ascii="Adobe Garamond Pro" w:hAnsi="Adobe Garamond Pro" w:cs="Times New Roman"/>
          <w:sz w:val="24"/>
          <w:szCs w:val="24"/>
        </w:rPr>
        <w:endnoteReference w:id="8"/>
      </w:r>
      <w:r w:rsidRPr="00D47841">
        <w:rPr>
          <w:rFonts w:ascii="Adobe Garamond Pro" w:hAnsi="Adobe Garamond Pro" w:cs="Times New Roman"/>
          <w:sz w:val="24"/>
          <w:szCs w:val="24"/>
        </w:rPr>
        <w:t xml:space="preserve"> duty on Congress to call the convention “on Application” of the state legislatures. Strictly speaking, Congress has a “call duty” or “call mandate” triggered by the “Application,” not a “call power.” In the absence of an express delegation of power to Congress, the congressional call can only be construed to implement the Application, which itself is an exercise of state sovereign power; there is no textual basis for Congress or any other federal body to claim a freestanding power over the convention process.</w:t>
      </w:r>
    </w:p>
    <w:p w14:paraId="2EB5A889" w14:textId="77777777" w:rsidR="00CC0E17" w:rsidRPr="00D47841" w:rsidRDefault="00CC0E17" w:rsidP="009748F8">
      <w:pPr>
        <w:jc w:val="both"/>
        <w:rPr>
          <w:rFonts w:ascii="Adobe Garamond Pro" w:hAnsi="Adobe Garamond Pro" w:cs="Times New Roman"/>
          <w:sz w:val="24"/>
          <w:szCs w:val="24"/>
        </w:rPr>
      </w:pPr>
    </w:p>
    <w:p w14:paraId="49DE8179" w14:textId="0B29F26E" w:rsidR="00CC0E17" w:rsidRPr="00D47841" w:rsidRDefault="00CC0E17" w:rsidP="009748F8">
      <w:pPr>
        <w:jc w:val="both"/>
        <w:rPr>
          <w:rFonts w:ascii="Adobe Garamond Pro" w:hAnsi="Adobe Garamond Pro" w:cs="Times New Roman"/>
          <w:sz w:val="24"/>
          <w:szCs w:val="24"/>
        </w:rPr>
      </w:pPr>
      <w:r w:rsidRPr="00D47841">
        <w:rPr>
          <w:rFonts w:ascii="Adobe Garamond Pro" w:hAnsi="Adobe Garamond Pro" w:cs="Times New Roman"/>
          <w:sz w:val="24"/>
          <w:szCs w:val="24"/>
        </w:rPr>
        <w:t xml:space="preserve">Second, the power of states as states to set the agenda of the Article V convention through their “Application” is entirely consistent with and parallel to the role of the “Application” in the only other part of the Constitution in which an application is mentioned—namely, Article IV, section 4, which provides: “[t]he United States shall guarantee to every State in this Union a Republican Form of Government, </w:t>
      </w:r>
      <w:r w:rsidRPr="00D47841">
        <w:rPr>
          <w:rFonts w:ascii="Adobe Garamond Pro" w:hAnsi="Adobe Garamond Pro" w:cs="Times New Roman"/>
          <w:i/>
          <w:sz w:val="24"/>
          <w:szCs w:val="24"/>
        </w:rPr>
        <w:t xml:space="preserve">and shall protect each of them </w:t>
      </w:r>
      <w:r w:rsidRPr="00D47841">
        <w:rPr>
          <w:rFonts w:ascii="Adobe Garamond Pro" w:hAnsi="Adobe Garamond Pro" w:cs="Times New Roman"/>
          <w:sz w:val="24"/>
          <w:szCs w:val="24"/>
        </w:rPr>
        <w:t xml:space="preserve">against Invasion; and </w:t>
      </w:r>
      <w:r w:rsidRPr="00D47841">
        <w:rPr>
          <w:rFonts w:ascii="Adobe Garamond Pro" w:hAnsi="Adobe Garamond Pro" w:cs="Times New Roman"/>
          <w:i/>
          <w:sz w:val="24"/>
          <w:szCs w:val="24"/>
        </w:rPr>
        <w:t>on Application of the Legislature, or of the Executive (when the Legislature cannot be convened) against domestic Violence</w:t>
      </w:r>
      <w:r w:rsidRPr="00D47841">
        <w:rPr>
          <w:rFonts w:ascii="Adobe Garamond Pro" w:hAnsi="Adobe Garamond Pro" w:cs="Times New Roman"/>
          <w:sz w:val="24"/>
          <w:szCs w:val="24"/>
        </w:rPr>
        <w:t>.”</w:t>
      </w:r>
      <w:r w:rsidRPr="00D47841">
        <w:rPr>
          <w:rStyle w:val="EndnoteReference"/>
          <w:rFonts w:ascii="Adobe Garamond Pro" w:hAnsi="Adobe Garamond Pro" w:cs="Times New Roman"/>
          <w:sz w:val="24"/>
          <w:szCs w:val="24"/>
        </w:rPr>
        <w:endnoteReference w:id="9"/>
      </w:r>
      <w:r w:rsidRPr="00D47841">
        <w:rPr>
          <w:rFonts w:ascii="Adobe Garamond Pro" w:hAnsi="Adobe Garamond Pro" w:cs="Times New Roman"/>
          <w:sz w:val="24"/>
          <w:szCs w:val="24"/>
        </w:rPr>
        <w:t xml:space="preserve"> The most natural reading of this provision is that the “Application” would specify the domestic violence to be addressed and how it should be addressed. Similarly, just as the federal government’s “agenda” for protecting the states from domestic violence is necessarily directed and guided by the content of the Article IV “Application,” an Article V convention’s agenda is set by the triggering “Application.”</w:t>
      </w:r>
    </w:p>
    <w:p w14:paraId="11D5BBD7" w14:textId="77777777" w:rsidR="00CC0E17" w:rsidRPr="00D47841" w:rsidRDefault="00CC0E17" w:rsidP="009748F8">
      <w:pPr>
        <w:jc w:val="both"/>
        <w:rPr>
          <w:rFonts w:ascii="Adobe Garamond Pro" w:hAnsi="Adobe Garamond Pro" w:cs="Times New Roman"/>
          <w:sz w:val="24"/>
          <w:szCs w:val="24"/>
        </w:rPr>
      </w:pPr>
    </w:p>
    <w:p w14:paraId="0A0F6E1C" w14:textId="35E4F8D1" w:rsidR="00CC0E17" w:rsidRPr="00D47841" w:rsidRDefault="00CC0E17" w:rsidP="009748F8">
      <w:pPr>
        <w:jc w:val="both"/>
        <w:rPr>
          <w:rFonts w:ascii="Adobe Garamond Pro" w:hAnsi="Adobe Garamond Pro" w:cs="Times New Roman"/>
          <w:sz w:val="24"/>
          <w:szCs w:val="24"/>
        </w:rPr>
      </w:pPr>
      <w:r w:rsidRPr="00D47841">
        <w:rPr>
          <w:rFonts w:ascii="Adobe Garamond Pro" w:hAnsi="Adobe Garamond Pro" w:cs="Times New Roman"/>
          <w:sz w:val="24"/>
          <w:szCs w:val="24"/>
        </w:rPr>
        <w:lastRenderedPageBreak/>
        <w:t>Further, the “Application” in Article IV, section 4, is being used by the states in aid of their sovereign powers. Nothing in Article IV confers power on state legislatures or executives to act as federal bodies that are somehow “independent” of their respective state governments. Nothing in Article IV suggests that applying states are somehow disabled from using all of their reserved powers in tandem to address the same domestic violence that prompted the “Application.” The federal government is simply being “deputized” to back up the state’s internal policing at the request of an appropriate representative branch of state government. Similarly, the “Application” in Article V is submitted by state legislatures in aid of the states’ traditional sovereign power to organize interstate conventions, and Congress acts on their behalf in calling the convention. There is no textual indication that the states are otherwise disabled from exercising their reserved powers in parallel to ensure the “Application” indeed governs the resulting convention.</w:t>
      </w:r>
    </w:p>
    <w:p w14:paraId="6D93CF22" w14:textId="77777777" w:rsidR="00CC0E17" w:rsidRPr="00D47841" w:rsidRDefault="00CC0E17" w:rsidP="009748F8">
      <w:pPr>
        <w:jc w:val="both"/>
        <w:rPr>
          <w:rFonts w:ascii="Adobe Garamond Pro" w:hAnsi="Adobe Garamond Pro" w:cs="Times New Roman"/>
          <w:sz w:val="24"/>
          <w:szCs w:val="24"/>
        </w:rPr>
      </w:pPr>
    </w:p>
    <w:p w14:paraId="7A58C30C" w14:textId="2C2A2891" w:rsidR="00C92E18" w:rsidRPr="00D47841" w:rsidRDefault="00CC0E17" w:rsidP="009748F8">
      <w:pPr>
        <w:jc w:val="both"/>
        <w:rPr>
          <w:rFonts w:ascii="Adobe Garamond Pro" w:hAnsi="Adobe Garamond Pro" w:cs="Times New Roman"/>
          <w:sz w:val="24"/>
          <w:szCs w:val="24"/>
        </w:rPr>
      </w:pPr>
      <w:r w:rsidRPr="00D47841">
        <w:rPr>
          <w:rFonts w:ascii="Adobe Garamond Pro" w:hAnsi="Adobe Garamond Pro" w:cs="Times New Roman"/>
          <w:sz w:val="24"/>
          <w:szCs w:val="24"/>
        </w:rPr>
        <w:t>Taken together, the “Application” is the clear textual point of entry for state control over the authority of an Article V convention based on reserved legislative power. The lack of express substantive content in Article V as to the nature of the “convention for proposing amendments” combined with Congress’ purely ministerial duty in calling the convention logically yields the convention agenda to whatever is requested in the “Application.” The Founders’ representations about how the states would obtain desired amendments through the convention process confirm that the “Application” would determine what the resulting Article V convention was authorized to propose</w:t>
      </w:r>
      <w:r w:rsidR="00C92E18" w:rsidRPr="00D47841">
        <w:rPr>
          <w:rFonts w:ascii="Adobe Garamond Pro" w:hAnsi="Adobe Garamond Pro" w:cs="Times New Roman"/>
          <w:sz w:val="24"/>
          <w:szCs w:val="24"/>
        </w:rPr>
        <w:t>,</w:t>
      </w:r>
      <w:r w:rsidRPr="00D47841">
        <w:rPr>
          <w:rFonts w:ascii="Adobe Garamond Pro" w:hAnsi="Adobe Garamond Pro" w:cs="Times New Roman"/>
          <w:sz w:val="24"/>
          <w:szCs w:val="24"/>
        </w:rPr>
        <w:t xml:space="preserve"> and that nothing in Article V was meant to disable states in exercising their sovereign powers to enforce compliance with the Application. The Tenth Amendment’s guarantee of the reserved powers of the states is, therefore, critically important to understanding and enforcing Article V. </w:t>
      </w:r>
    </w:p>
    <w:p w14:paraId="38022B29" w14:textId="77777777" w:rsidR="00C92E18" w:rsidRPr="00D47841" w:rsidRDefault="00C92E18" w:rsidP="009748F8">
      <w:pPr>
        <w:jc w:val="both"/>
        <w:rPr>
          <w:rFonts w:ascii="Adobe Garamond Pro" w:hAnsi="Adobe Garamond Pro" w:cs="Times New Roman"/>
          <w:sz w:val="24"/>
          <w:szCs w:val="24"/>
        </w:rPr>
      </w:pPr>
    </w:p>
    <w:p w14:paraId="1ADDE264" w14:textId="75BE8B3F" w:rsidR="00CC0E17" w:rsidRPr="00D47841" w:rsidRDefault="00C92E18" w:rsidP="009748F8">
      <w:pPr>
        <w:jc w:val="both"/>
        <w:rPr>
          <w:rFonts w:ascii="Adobe Garamond Pro" w:hAnsi="Adobe Garamond Pro" w:cs="Times New Roman"/>
          <w:sz w:val="24"/>
          <w:szCs w:val="24"/>
        </w:rPr>
      </w:pPr>
      <w:r w:rsidRPr="00D47841">
        <w:rPr>
          <w:rFonts w:ascii="Adobe Garamond Pro" w:hAnsi="Adobe Garamond Pro" w:cs="Times New Roman"/>
          <w:sz w:val="24"/>
          <w:szCs w:val="24"/>
        </w:rPr>
        <w:t>E</w:t>
      </w:r>
      <w:r w:rsidR="00CC0E17" w:rsidRPr="00D47841">
        <w:rPr>
          <w:rFonts w:ascii="Adobe Garamond Pro" w:hAnsi="Adobe Garamond Pro" w:cs="Times New Roman"/>
          <w:sz w:val="24"/>
          <w:szCs w:val="24"/>
        </w:rPr>
        <w:t xml:space="preserve">xisting precedent </w:t>
      </w:r>
      <w:r w:rsidRPr="00D47841">
        <w:rPr>
          <w:rFonts w:ascii="Adobe Garamond Pro" w:hAnsi="Adobe Garamond Pro" w:cs="Times New Roman"/>
          <w:sz w:val="24"/>
          <w:szCs w:val="24"/>
        </w:rPr>
        <w:t xml:space="preserve">does not indicate that </w:t>
      </w:r>
      <w:r w:rsidR="00CC0E17" w:rsidRPr="00D47841">
        <w:rPr>
          <w:rFonts w:ascii="Adobe Garamond Pro" w:hAnsi="Adobe Garamond Pro" w:cs="Times New Roman"/>
          <w:sz w:val="24"/>
          <w:szCs w:val="24"/>
        </w:rPr>
        <w:t>the Supreme Court would rule otherwise.</w:t>
      </w:r>
      <w:r w:rsidRPr="00D47841">
        <w:rPr>
          <w:rFonts w:ascii="Adobe Garamond Pro" w:hAnsi="Adobe Garamond Pro" w:cs="Times New Roman"/>
          <w:sz w:val="24"/>
          <w:szCs w:val="24"/>
        </w:rPr>
        <w:t xml:space="preserve"> T</w:t>
      </w:r>
      <w:r w:rsidR="00CC0E17" w:rsidRPr="00D47841">
        <w:rPr>
          <w:rFonts w:ascii="Adobe Garamond Pro" w:hAnsi="Adobe Garamond Pro" w:cs="Times New Roman"/>
          <w:sz w:val="24"/>
          <w:szCs w:val="24"/>
        </w:rPr>
        <w:t xml:space="preserve">hose who oppose applying Tenth Amendment principles to the Article V convention process primarily rely upon </w:t>
      </w:r>
      <w:r w:rsidR="00CC0E17" w:rsidRPr="00D47841">
        <w:rPr>
          <w:rFonts w:ascii="Adobe Garamond Pro" w:hAnsi="Adobe Garamond Pro" w:cs="Times New Roman"/>
          <w:i/>
          <w:sz w:val="24"/>
          <w:szCs w:val="24"/>
        </w:rPr>
        <w:t>Hawke v. Smith</w:t>
      </w:r>
      <w:r w:rsidR="00D25FD2">
        <w:rPr>
          <w:rFonts w:ascii="Adobe Garamond Pro" w:hAnsi="Adobe Garamond Pro" w:cs="Times New Roman"/>
          <w:sz w:val="24"/>
          <w:szCs w:val="24"/>
        </w:rPr>
        <w:t>,</w:t>
      </w:r>
      <w:r w:rsidR="00CC0E17" w:rsidRPr="00D47841">
        <w:rPr>
          <w:rStyle w:val="EndnoteReference"/>
          <w:rFonts w:ascii="Adobe Garamond Pro" w:hAnsi="Adobe Garamond Pro" w:cs="Times New Roman"/>
          <w:sz w:val="24"/>
          <w:szCs w:val="24"/>
        </w:rPr>
        <w:endnoteReference w:id="10"/>
      </w:r>
      <w:r w:rsidR="00CC0E17" w:rsidRPr="00D47841">
        <w:rPr>
          <w:rFonts w:ascii="Adobe Garamond Pro" w:hAnsi="Adobe Garamond Pro" w:cs="Times New Roman"/>
          <w:sz w:val="24"/>
          <w:szCs w:val="24"/>
        </w:rPr>
        <w:t xml:space="preserve"> </w:t>
      </w:r>
      <w:proofErr w:type="spellStart"/>
      <w:r w:rsidR="00CC0E17" w:rsidRPr="00D47841">
        <w:rPr>
          <w:rFonts w:ascii="Adobe Garamond Pro" w:hAnsi="Adobe Garamond Pro" w:cs="Times New Roman"/>
          <w:i/>
          <w:sz w:val="24"/>
          <w:szCs w:val="24"/>
        </w:rPr>
        <w:t>Leser</w:t>
      </w:r>
      <w:proofErr w:type="spellEnd"/>
      <w:r w:rsidR="00CC0E17" w:rsidRPr="00D47841">
        <w:rPr>
          <w:rFonts w:ascii="Adobe Garamond Pro" w:hAnsi="Adobe Garamond Pro" w:cs="Times New Roman"/>
          <w:i/>
          <w:sz w:val="24"/>
          <w:szCs w:val="24"/>
        </w:rPr>
        <w:t xml:space="preserve"> v. Garnett</w:t>
      </w:r>
      <w:r w:rsidRPr="00D47841">
        <w:rPr>
          <w:rFonts w:ascii="Adobe Garamond Pro" w:hAnsi="Adobe Garamond Pro" w:cs="Times New Roman"/>
          <w:sz w:val="24"/>
          <w:szCs w:val="24"/>
        </w:rPr>
        <w:t>,</w:t>
      </w:r>
      <w:r w:rsidR="00CC0E17" w:rsidRPr="00D47841">
        <w:rPr>
          <w:rStyle w:val="EndnoteReference"/>
          <w:rFonts w:ascii="Adobe Garamond Pro" w:hAnsi="Adobe Garamond Pro" w:cs="Times New Roman"/>
          <w:sz w:val="24"/>
          <w:szCs w:val="24"/>
        </w:rPr>
        <w:endnoteReference w:id="11"/>
      </w:r>
      <w:r w:rsidR="00D25FD2">
        <w:rPr>
          <w:rFonts w:ascii="Adobe Garamond Pro" w:hAnsi="Adobe Garamond Pro" w:cs="Times New Roman"/>
          <w:sz w:val="24"/>
          <w:szCs w:val="24"/>
        </w:rPr>
        <w:t>,</w:t>
      </w:r>
      <w:r w:rsidR="00CC0E17" w:rsidRPr="00D47841">
        <w:rPr>
          <w:rFonts w:ascii="Adobe Garamond Pro" w:hAnsi="Adobe Garamond Pro" w:cs="Times New Roman"/>
          <w:sz w:val="24"/>
          <w:szCs w:val="24"/>
        </w:rPr>
        <w:t xml:space="preserve"> </w:t>
      </w:r>
      <w:r w:rsidR="00D25FD2" w:rsidRPr="00D47841">
        <w:rPr>
          <w:rFonts w:ascii="Adobe Garamond Pro" w:hAnsi="Adobe Garamond Pro" w:cs="Times New Roman"/>
          <w:i/>
          <w:sz w:val="24"/>
          <w:szCs w:val="24"/>
        </w:rPr>
        <w:t>United States v. Sprague</w:t>
      </w:r>
      <w:r w:rsidR="00D25FD2" w:rsidRPr="00D47841">
        <w:rPr>
          <w:rStyle w:val="EndnoteReference"/>
          <w:rFonts w:ascii="Adobe Garamond Pro" w:hAnsi="Adobe Garamond Pro" w:cs="Times New Roman"/>
          <w:sz w:val="24"/>
          <w:szCs w:val="24"/>
        </w:rPr>
        <w:endnoteReference w:id="12"/>
      </w:r>
      <w:r w:rsidR="00D25FD2" w:rsidRPr="00D47841">
        <w:rPr>
          <w:rFonts w:ascii="Adobe Garamond Pro" w:hAnsi="Adobe Garamond Pro" w:cs="Times New Roman"/>
          <w:sz w:val="24"/>
          <w:szCs w:val="24"/>
        </w:rPr>
        <w:t xml:space="preserve"> and </w:t>
      </w:r>
      <w:r w:rsidR="00D25FD2" w:rsidRPr="00D47841">
        <w:rPr>
          <w:rFonts w:ascii="Adobe Garamond Pro" w:hAnsi="Adobe Garamond Pro" w:cs="Times New Roman"/>
          <w:i/>
          <w:sz w:val="24"/>
          <w:szCs w:val="24"/>
        </w:rPr>
        <w:t>U.S. Term Limits v. Thornton</w:t>
      </w:r>
      <w:r w:rsidR="00D25FD2" w:rsidRPr="00D47841">
        <w:rPr>
          <w:rStyle w:val="EndnoteReference"/>
          <w:rFonts w:ascii="Adobe Garamond Pro" w:hAnsi="Adobe Garamond Pro" w:cs="Times New Roman"/>
          <w:sz w:val="24"/>
          <w:szCs w:val="24"/>
        </w:rPr>
        <w:endnoteReference w:id="13"/>
      </w:r>
      <w:r w:rsidR="00D25FD2" w:rsidRPr="00D47841">
        <w:rPr>
          <w:rFonts w:ascii="Adobe Garamond Pro" w:hAnsi="Adobe Garamond Pro" w:cs="Times New Roman"/>
          <w:sz w:val="24"/>
          <w:szCs w:val="24"/>
        </w:rPr>
        <w:t xml:space="preserve"> </w:t>
      </w:r>
      <w:r w:rsidR="00CC0E17" w:rsidRPr="00D47841">
        <w:rPr>
          <w:rFonts w:ascii="Adobe Garamond Pro" w:hAnsi="Adobe Garamond Pro" w:cs="Times New Roman"/>
          <w:sz w:val="24"/>
          <w:szCs w:val="24"/>
        </w:rPr>
        <w:t>for the proposition that the Supreme Court has “invalidated efforts to control the amendment process though state law</w:t>
      </w:r>
      <w:bookmarkStart w:id="0" w:name="_GoBack"/>
      <w:bookmarkEnd w:id="0"/>
      <w:r w:rsidR="00CC0E17" w:rsidRPr="00D47841">
        <w:rPr>
          <w:rFonts w:ascii="Adobe Garamond Pro" w:hAnsi="Adobe Garamond Pro" w:cs="Times New Roman"/>
          <w:sz w:val="24"/>
          <w:szCs w:val="24"/>
        </w:rPr>
        <w:t>”</w:t>
      </w:r>
      <w:r w:rsidR="00BA7020">
        <w:rPr>
          <w:rStyle w:val="EndnoteReference"/>
          <w:rFonts w:ascii="Adobe Garamond Pro" w:hAnsi="Adobe Garamond Pro" w:cs="Times New Roman"/>
          <w:sz w:val="24"/>
          <w:szCs w:val="24"/>
        </w:rPr>
        <w:endnoteReference w:id="14"/>
      </w:r>
      <w:r w:rsidR="00CC0E17" w:rsidRPr="00D47841">
        <w:rPr>
          <w:rFonts w:ascii="Adobe Garamond Pro" w:hAnsi="Adobe Garamond Pro" w:cs="Times New Roman"/>
          <w:sz w:val="24"/>
          <w:szCs w:val="24"/>
        </w:rPr>
        <w:t xml:space="preserve"> </w:t>
      </w:r>
      <w:r w:rsidR="00D25FD2">
        <w:rPr>
          <w:rFonts w:ascii="Adobe Garamond Pro" w:hAnsi="Adobe Garamond Pro" w:cs="Times New Roman"/>
          <w:sz w:val="24"/>
          <w:szCs w:val="24"/>
        </w:rPr>
        <w:t xml:space="preserve">and </w:t>
      </w:r>
      <w:r w:rsidR="00CC0E17" w:rsidRPr="00D47841">
        <w:rPr>
          <w:rFonts w:ascii="Adobe Garamond Pro" w:hAnsi="Adobe Garamond Pro" w:cs="Times New Roman"/>
          <w:sz w:val="24"/>
          <w:szCs w:val="24"/>
        </w:rPr>
        <w:t>as somehow establishing that states have no reserved powers under Article V.</w:t>
      </w:r>
      <w:r w:rsidR="00BA7020">
        <w:rPr>
          <w:rStyle w:val="EndnoteReference"/>
          <w:rFonts w:ascii="Adobe Garamond Pro" w:hAnsi="Adobe Garamond Pro" w:cs="Times New Roman"/>
          <w:sz w:val="24"/>
          <w:szCs w:val="24"/>
        </w:rPr>
        <w:endnoteReference w:id="15"/>
      </w:r>
    </w:p>
    <w:p w14:paraId="21DB854F" w14:textId="77777777" w:rsidR="00CC0E17" w:rsidRPr="00D47841" w:rsidRDefault="00CC0E17" w:rsidP="009748F8">
      <w:pPr>
        <w:jc w:val="both"/>
        <w:rPr>
          <w:rFonts w:ascii="Adobe Garamond Pro" w:hAnsi="Adobe Garamond Pro" w:cs="Times New Roman"/>
          <w:sz w:val="24"/>
          <w:szCs w:val="24"/>
        </w:rPr>
      </w:pPr>
    </w:p>
    <w:p w14:paraId="66404407" w14:textId="18D32FBA" w:rsidR="00CC0E17" w:rsidRPr="00D47841" w:rsidRDefault="00CC0E17" w:rsidP="009748F8">
      <w:pPr>
        <w:jc w:val="both"/>
        <w:rPr>
          <w:rFonts w:ascii="Adobe Garamond Pro" w:hAnsi="Adobe Garamond Pro" w:cs="Times New Roman"/>
          <w:sz w:val="24"/>
          <w:szCs w:val="24"/>
        </w:rPr>
      </w:pPr>
      <w:r w:rsidRPr="00D47841">
        <w:rPr>
          <w:rFonts w:ascii="Adobe Garamond Pro" w:hAnsi="Adobe Garamond Pro" w:cs="Times New Roman"/>
          <w:sz w:val="24"/>
          <w:szCs w:val="24"/>
        </w:rPr>
        <w:t xml:space="preserve">Such reliance is </w:t>
      </w:r>
      <w:r w:rsidR="002115B7" w:rsidRPr="00D47841">
        <w:rPr>
          <w:rFonts w:ascii="Adobe Garamond Pro" w:hAnsi="Adobe Garamond Pro" w:cs="Times New Roman"/>
          <w:sz w:val="24"/>
          <w:szCs w:val="24"/>
        </w:rPr>
        <w:t>misplaced.</w:t>
      </w:r>
    </w:p>
    <w:p w14:paraId="4A7EBE46" w14:textId="77777777" w:rsidR="00CC0E17" w:rsidRPr="00D47841" w:rsidRDefault="00CC0E17" w:rsidP="009748F8">
      <w:pPr>
        <w:jc w:val="both"/>
        <w:rPr>
          <w:rFonts w:ascii="Adobe Garamond Pro" w:hAnsi="Adobe Garamond Pro" w:cs="Times New Roman"/>
          <w:sz w:val="24"/>
          <w:szCs w:val="24"/>
        </w:rPr>
      </w:pPr>
    </w:p>
    <w:p w14:paraId="7D95EC08" w14:textId="78DAAEF6" w:rsidR="00CC0E17" w:rsidRPr="00D47841" w:rsidRDefault="00CC0E17" w:rsidP="009748F8">
      <w:pPr>
        <w:jc w:val="both"/>
        <w:rPr>
          <w:rFonts w:ascii="Adobe Garamond Pro" w:hAnsi="Adobe Garamond Pro" w:cs="Times New Roman"/>
          <w:sz w:val="24"/>
          <w:szCs w:val="24"/>
        </w:rPr>
      </w:pPr>
      <w:r w:rsidRPr="00D47841">
        <w:rPr>
          <w:rFonts w:ascii="Adobe Garamond Pro" w:hAnsi="Adobe Garamond Pro" w:cs="Times New Roman"/>
          <w:sz w:val="24"/>
          <w:szCs w:val="24"/>
        </w:rPr>
        <w:t xml:space="preserve">Neither </w:t>
      </w:r>
      <w:r w:rsidRPr="00D47841">
        <w:rPr>
          <w:rFonts w:ascii="Adobe Garamond Pro" w:hAnsi="Adobe Garamond Pro" w:cs="Times New Roman"/>
          <w:i/>
          <w:sz w:val="24"/>
          <w:szCs w:val="24"/>
        </w:rPr>
        <w:t>Hawke</w:t>
      </w:r>
      <w:r w:rsidR="00C92E18" w:rsidRPr="00D47841">
        <w:rPr>
          <w:rFonts w:ascii="Adobe Garamond Pro" w:hAnsi="Adobe Garamond Pro" w:cs="Times New Roman"/>
          <w:sz w:val="24"/>
          <w:szCs w:val="24"/>
        </w:rPr>
        <w:t xml:space="preserve"> nor</w:t>
      </w:r>
      <w:r w:rsidRPr="00D47841">
        <w:rPr>
          <w:rFonts w:ascii="Adobe Garamond Pro" w:hAnsi="Adobe Garamond Pro" w:cs="Times New Roman"/>
          <w:sz w:val="24"/>
          <w:szCs w:val="24"/>
        </w:rPr>
        <w:t xml:space="preserve"> </w:t>
      </w:r>
      <w:proofErr w:type="spellStart"/>
      <w:r w:rsidRPr="00D47841">
        <w:rPr>
          <w:rFonts w:ascii="Adobe Garamond Pro" w:hAnsi="Adobe Garamond Pro" w:cs="Times New Roman"/>
          <w:i/>
          <w:sz w:val="24"/>
          <w:szCs w:val="24"/>
        </w:rPr>
        <w:t>Leser</w:t>
      </w:r>
      <w:proofErr w:type="spellEnd"/>
      <w:r w:rsidRPr="00D47841">
        <w:rPr>
          <w:rFonts w:ascii="Adobe Garamond Pro" w:hAnsi="Adobe Garamond Pro" w:cs="Times New Roman"/>
          <w:sz w:val="24"/>
          <w:szCs w:val="24"/>
        </w:rPr>
        <w:t xml:space="preserve"> nor </w:t>
      </w:r>
      <w:r w:rsidRPr="00D47841">
        <w:rPr>
          <w:rFonts w:ascii="Adobe Garamond Pro" w:hAnsi="Adobe Garamond Pro" w:cs="Times New Roman"/>
          <w:i/>
          <w:sz w:val="24"/>
          <w:szCs w:val="24"/>
        </w:rPr>
        <w:t>Sprague</w:t>
      </w:r>
      <w:r w:rsidRPr="00D47841">
        <w:rPr>
          <w:rFonts w:ascii="Adobe Garamond Pro" w:hAnsi="Adobe Garamond Pro" w:cs="Times New Roman"/>
          <w:sz w:val="24"/>
          <w:szCs w:val="24"/>
        </w:rPr>
        <w:t xml:space="preserve"> dealt with the Article V “amendment process”</w:t>
      </w:r>
      <w:r w:rsidRPr="00D47841">
        <w:rPr>
          <w:rFonts w:ascii="Adobe Garamond Pro" w:hAnsi="Adobe Garamond Pro" w:cs="Times New Roman"/>
          <w:i/>
          <w:sz w:val="24"/>
          <w:szCs w:val="24"/>
        </w:rPr>
        <w:t xml:space="preserve"> in general</w:t>
      </w:r>
      <w:r w:rsidRPr="00D47841">
        <w:rPr>
          <w:rFonts w:ascii="Adobe Garamond Pro" w:hAnsi="Adobe Garamond Pro" w:cs="Times New Roman"/>
          <w:sz w:val="24"/>
          <w:szCs w:val="24"/>
        </w:rPr>
        <w:t xml:space="preserve">, much less the Article V convention process. </w:t>
      </w:r>
      <w:r w:rsidRPr="00D47841">
        <w:rPr>
          <w:rFonts w:ascii="Adobe Garamond Pro" w:hAnsi="Adobe Garamond Pro" w:cs="Times New Roman"/>
          <w:i/>
          <w:sz w:val="24"/>
          <w:szCs w:val="24"/>
        </w:rPr>
        <w:t xml:space="preserve">Sprague </w:t>
      </w:r>
      <w:r w:rsidRPr="00D47841">
        <w:rPr>
          <w:rFonts w:ascii="Adobe Garamond Pro" w:hAnsi="Adobe Garamond Pro" w:cs="Times New Roman"/>
          <w:sz w:val="24"/>
          <w:szCs w:val="24"/>
        </w:rPr>
        <w:t xml:space="preserve">simply reaffirmed the fact of Congressional control over the selection of the mode of ratification. Both </w:t>
      </w:r>
      <w:r w:rsidRPr="00D47841">
        <w:rPr>
          <w:rFonts w:ascii="Adobe Garamond Pro" w:hAnsi="Adobe Garamond Pro" w:cs="Times New Roman"/>
          <w:i/>
          <w:sz w:val="24"/>
          <w:szCs w:val="24"/>
        </w:rPr>
        <w:t xml:space="preserve">Hawke </w:t>
      </w:r>
      <w:r w:rsidRPr="00D47841">
        <w:rPr>
          <w:rFonts w:ascii="Adobe Garamond Pro" w:hAnsi="Adobe Garamond Pro" w:cs="Times New Roman"/>
          <w:sz w:val="24"/>
          <w:szCs w:val="24"/>
        </w:rPr>
        <w:t xml:space="preserve">and </w:t>
      </w:r>
      <w:proofErr w:type="spellStart"/>
      <w:r w:rsidRPr="00D47841">
        <w:rPr>
          <w:rFonts w:ascii="Adobe Garamond Pro" w:hAnsi="Adobe Garamond Pro" w:cs="Times New Roman"/>
          <w:i/>
          <w:sz w:val="24"/>
          <w:szCs w:val="24"/>
        </w:rPr>
        <w:t>Leser</w:t>
      </w:r>
      <w:proofErr w:type="spellEnd"/>
      <w:r w:rsidRPr="00D47841">
        <w:rPr>
          <w:rFonts w:ascii="Adobe Garamond Pro" w:hAnsi="Adobe Garamond Pro" w:cs="Times New Roman"/>
          <w:i/>
          <w:sz w:val="24"/>
          <w:szCs w:val="24"/>
        </w:rPr>
        <w:t xml:space="preserve"> </w:t>
      </w:r>
      <w:r w:rsidRPr="00D47841">
        <w:rPr>
          <w:rFonts w:ascii="Adobe Garamond Pro" w:hAnsi="Adobe Garamond Pro" w:cs="Times New Roman"/>
          <w:sz w:val="24"/>
          <w:szCs w:val="24"/>
        </w:rPr>
        <w:t xml:space="preserve">were exclusively concerned with state legislative power over the </w:t>
      </w:r>
      <w:r w:rsidRPr="00D47841">
        <w:rPr>
          <w:rFonts w:ascii="Adobe Garamond Pro" w:hAnsi="Adobe Garamond Pro" w:cs="Times New Roman"/>
          <w:i/>
          <w:sz w:val="24"/>
          <w:szCs w:val="24"/>
        </w:rPr>
        <w:t xml:space="preserve">ratification </w:t>
      </w:r>
      <w:r w:rsidRPr="00D47841">
        <w:rPr>
          <w:rFonts w:ascii="Adobe Garamond Pro" w:hAnsi="Adobe Garamond Pro" w:cs="Times New Roman"/>
          <w:sz w:val="24"/>
          <w:szCs w:val="24"/>
        </w:rPr>
        <w:t xml:space="preserve">of a congressionally proposed amendment. </w:t>
      </w:r>
      <w:r w:rsidRPr="00D47841">
        <w:rPr>
          <w:rFonts w:ascii="Adobe Garamond Pro" w:hAnsi="Adobe Garamond Pro" w:cs="Times New Roman"/>
          <w:i/>
          <w:sz w:val="24"/>
          <w:szCs w:val="24"/>
        </w:rPr>
        <w:t>Hawke</w:t>
      </w:r>
      <w:r w:rsidRPr="00D47841">
        <w:rPr>
          <w:rFonts w:ascii="Adobe Garamond Pro" w:hAnsi="Adobe Garamond Pro" w:cs="Times New Roman"/>
          <w:sz w:val="24"/>
          <w:szCs w:val="24"/>
        </w:rPr>
        <w:t xml:space="preserve"> ruled only that “</w:t>
      </w:r>
      <w:r w:rsidRPr="00D47841">
        <w:rPr>
          <w:rFonts w:ascii="Adobe Garamond Pro" w:hAnsi="Adobe Garamond Pro" w:cs="Times New Roman"/>
          <w:i/>
          <w:sz w:val="24"/>
          <w:szCs w:val="24"/>
        </w:rPr>
        <w:t>ratification</w:t>
      </w:r>
      <w:r w:rsidRPr="00D47841">
        <w:rPr>
          <w:rFonts w:ascii="Adobe Garamond Pro" w:hAnsi="Adobe Garamond Pro" w:cs="Times New Roman"/>
          <w:sz w:val="24"/>
          <w:szCs w:val="24"/>
        </w:rPr>
        <w:t xml:space="preserve"> by a state of a constitutional amendment is not an act of legislation.” </w:t>
      </w:r>
      <w:proofErr w:type="spellStart"/>
      <w:r w:rsidRPr="00D47841">
        <w:rPr>
          <w:rFonts w:ascii="Adobe Garamond Pro" w:hAnsi="Adobe Garamond Pro" w:cs="Times New Roman"/>
          <w:i/>
          <w:sz w:val="24"/>
          <w:szCs w:val="24"/>
        </w:rPr>
        <w:t>Leser</w:t>
      </w:r>
      <w:proofErr w:type="spellEnd"/>
      <w:r w:rsidRPr="00D47841">
        <w:rPr>
          <w:rFonts w:ascii="Adobe Garamond Pro" w:hAnsi="Adobe Garamond Pro" w:cs="Times New Roman"/>
          <w:sz w:val="24"/>
          <w:szCs w:val="24"/>
        </w:rPr>
        <w:t xml:space="preserve"> ruled only that the “function of a state Legislature in </w:t>
      </w:r>
      <w:r w:rsidRPr="00D47841">
        <w:rPr>
          <w:rFonts w:ascii="Adobe Garamond Pro" w:hAnsi="Adobe Garamond Pro" w:cs="Times New Roman"/>
          <w:i/>
          <w:sz w:val="24"/>
          <w:szCs w:val="24"/>
        </w:rPr>
        <w:t>ratifying</w:t>
      </w:r>
      <w:r w:rsidRPr="00D47841">
        <w:rPr>
          <w:rFonts w:ascii="Adobe Garamond Pro" w:hAnsi="Adobe Garamond Pro" w:cs="Times New Roman"/>
          <w:sz w:val="24"/>
          <w:szCs w:val="24"/>
        </w:rPr>
        <w:t xml:space="preserve"> a proposed amendment to the federal Constitution, like the function of Congress in proposing the amendment, is a federal function.” None of these cases speaks at all to the nature, source or effect of the power of legislatures to join in an “Application” for an Article V convention. </w:t>
      </w:r>
    </w:p>
    <w:p w14:paraId="54FC3EEC" w14:textId="77777777" w:rsidR="00CC0E17" w:rsidRPr="00D47841" w:rsidRDefault="00CC0E17" w:rsidP="009748F8">
      <w:pPr>
        <w:jc w:val="both"/>
        <w:rPr>
          <w:rFonts w:ascii="Adobe Garamond Pro" w:hAnsi="Adobe Garamond Pro" w:cs="Times New Roman"/>
          <w:sz w:val="24"/>
          <w:szCs w:val="24"/>
        </w:rPr>
      </w:pPr>
    </w:p>
    <w:p w14:paraId="5C9D3FCD" w14:textId="7876FCA3" w:rsidR="00CC0E17" w:rsidRPr="00D47841" w:rsidRDefault="00CC0E17" w:rsidP="009748F8">
      <w:pPr>
        <w:jc w:val="both"/>
        <w:rPr>
          <w:rFonts w:ascii="Adobe Garamond Pro" w:hAnsi="Adobe Garamond Pro" w:cs="Times New Roman"/>
          <w:sz w:val="24"/>
          <w:szCs w:val="24"/>
        </w:rPr>
      </w:pPr>
      <w:r w:rsidRPr="00D47841">
        <w:rPr>
          <w:rFonts w:ascii="Adobe Garamond Pro" w:hAnsi="Adobe Garamond Pro" w:cs="Times New Roman"/>
          <w:sz w:val="24"/>
          <w:szCs w:val="24"/>
        </w:rPr>
        <w:t xml:space="preserve">The power to ratify an amendment in response to a congressional amendment proposal is not equivalent to the power to petition Congress to organize a convention for proposing amendments. The ratification power </w:t>
      </w:r>
      <w:r w:rsidRPr="00D47841">
        <w:rPr>
          <w:rFonts w:ascii="Adobe Garamond Pro" w:hAnsi="Adobe Garamond Pro" w:cs="Times New Roman"/>
          <w:i/>
          <w:sz w:val="24"/>
          <w:szCs w:val="24"/>
        </w:rPr>
        <w:t xml:space="preserve">is </w:t>
      </w:r>
      <w:r w:rsidRPr="00D47841">
        <w:rPr>
          <w:rFonts w:ascii="Adobe Garamond Pro" w:hAnsi="Adobe Garamond Pro" w:cs="Times New Roman"/>
          <w:sz w:val="24"/>
          <w:szCs w:val="24"/>
        </w:rPr>
        <w:t xml:space="preserve">textually conferred by the Constitution on state </w:t>
      </w:r>
      <w:r w:rsidRPr="00D47841">
        <w:rPr>
          <w:rFonts w:ascii="Adobe Garamond Pro" w:hAnsi="Adobe Garamond Pro" w:cs="Times New Roman"/>
          <w:sz w:val="24"/>
          <w:szCs w:val="24"/>
        </w:rPr>
        <w:lastRenderedPageBreak/>
        <w:t xml:space="preserve">legislatures; whereas, as discussed above, the application power is textually </w:t>
      </w:r>
      <w:r w:rsidRPr="00D47841">
        <w:rPr>
          <w:rFonts w:ascii="Adobe Garamond Pro" w:hAnsi="Adobe Garamond Pro" w:cs="Times New Roman"/>
          <w:i/>
          <w:sz w:val="24"/>
          <w:szCs w:val="24"/>
        </w:rPr>
        <w:t>presumed to exist</w:t>
      </w:r>
      <w:r w:rsidRPr="00D47841">
        <w:rPr>
          <w:rFonts w:ascii="Adobe Garamond Pro" w:hAnsi="Adobe Garamond Pro" w:cs="Times New Roman"/>
          <w:sz w:val="24"/>
          <w:szCs w:val="24"/>
        </w:rPr>
        <w:t xml:space="preserve"> and, therefore, its nature and scope is derivative of the reserved powers of the states. Further, the power delegated by the People to Congress in responding to the “Application” consists solely of giving the states what they want—unlike the selection of the mode of ratification, over which Congress has discretion.</w:t>
      </w:r>
    </w:p>
    <w:p w14:paraId="4494AD13" w14:textId="77777777" w:rsidR="00CC0E17" w:rsidRPr="00D47841" w:rsidRDefault="00CC0E17" w:rsidP="009748F8">
      <w:pPr>
        <w:jc w:val="both"/>
        <w:rPr>
          <w:rFonts w:ascii="Adobe Garamond Pro" w:hAnsi="Adobe Garamond Pro" w:cs="Times New Roman"/>
          <w:sz w:val="24"/>
          <w:szCs w:val="24"/>
        </w:rPr>
      </w:pPr>
    </w:p>
    <w:p w14:paraId="45A3FEBB" w14:textId="307D26FA" w:rsidR="00CC0E17" w:rsidRPr="00D47841" w:rsidRDefault="00CC0E17" w:rsidP="009748F8">
      <w:pPr>
        <w:jc w:val="both"/>
        <w:rPr>
          <w:rFonts w:ascii="Adobe Garamond Pro" w:hAnsi="Adobe Garamond Pro" w:cs="Times New Roman"/>
          <w:sz w:val="24"/>
          <w:szCs w:val="24"/>
        </w:rPr>
      </w:pPr>
      <w:r w:rsidRPr="00D47841">
        <w:rPr>
          <w:rFonts w:ascii="Adobe Garamond Pro" w:hAnsi="Adobe Garamond Pro" w:cs="Times New Roman"/>
          <w:sz w:val="24"/>
          <w:szCs w:val="24"/>
        </w:rPr>
        <w:t xml:space="preserve">In speaking of state legislatures possessing powers directly delegated by the </w:t>
      </w:r>
      <w:r w:rsidR="006A6C66" w:rsidRPr="00D47841">
        <w:rPr>
          <w:rFonts w:ascii="Adobe Garamond Pro" w:hAnsi="Adobe Garamond Pro" w:cs="Times New Roman"/>
          <w:sz w:val="24"/>
          <w:szCs w:val="24"/>
        </w:rPr>
        <w:t>p</w:t>
      </w:r>
      <w:r w:rsidRPr="00D47841">
        <w:rPr>
          <w:rFonts w:ascii="Adobe Garamond Pro" w:hAnsi="Adobe Garamond Pro" w:cs="Times New Roman"/>
          <w:sz w:val="24"/>
          <w:szCs w:val="24"/>
        </w:rPr>
        <w:t xml:space="preserve">eople in the ratification process, rather than exercising their sovereign legislative authority, both </w:t>
      </w:r>
      <w:r w:rsidRPr="00D47841">
        <w:rPr>
          <w:rFonts w:ascii="Adobe Garamond Pro" w:hAnsi="Adobe Garamond Pro" w:cs="Times New Roman"/>
          <w:i/>
          <w:sz w:val="24"/>
          <w:szCs w:val="24"/>
        </w:rPr>
        <w:t>Hawke</w:t>
      </w:r>
      <w:r w:rsidRPr="00D47841">
        <w:rPr>
          <w:rFonts w:ascii="Adobe Garamond Pro" w:hAnsi="Adobe Garamond Pro" w:cs="Times New Roman"/>
          <w:sz w:val="24"/>
          <w:szCs w:val="24"/>
        </w:rPr>
        <w:t xml:space="preserve"> and </w:t>
      </w:r>
      <w:proofErr w:type="spellStart"/>
      <w:r w:rsidRPr="00D47841">
        <w:rPr>
          <w:rFonts w:ascii="Adobe Garamond Pro" w:hAnsi="Adobe Garamond Pro" w:cs="Times New Roman"/>
          <w:i/>
          <w:sz w:val="24"/>
          <w:szCs w:val="24"/>
        </w:rPr>
        <w:t>Leser</w:t>
      </w:r>
      <w:proofErr w:type="spellEnd"/>
      <w:r w:rsidRPr="00D47841">
        <w:rPr>
          <w:rFonts w:ascii="Adobe Garamond Pro" w:hAnsi="Adobe Garamond Pro" w:cs="Times New Roman"/>
          <w:sz w:val="24"/>
          <w:szCs w:val="24"/>
        </w:rPr>
        <w:t xml:space="preserve"> simply underscored an implication of the fact that ratification effects the </w:t>
      </w:r>
      <w:r w:rsidRPr="00D47841">
        <w:rPr>
          <w:rFonts w:ascii="Adobe Garamond Pro" w:hAnsi="Adobe Garamond Pro" w:cs="Times New Roman"/>
          <w:i/>
          <w:sz w:val="24"/>
          <w:szCs w:val="24"/>
        </w:rPr>
        <w:t xml:space="preserve">amendment </w:t>
      </w:r>
      <w:r w:rsidRPr="00D47841">
        <w:rPr>
          <w:rFonts w:ascii="Adobe Garamond Pro" w:hAnsi="Adobe Garamond Pro" w:cs="Times New Roman"/>
          <w:sz w:val="24"/>
          <w:szCs w:val="24"/>
        </w:rPr>
        <w:t xml:space="preserve">of the Constitution, which is, after all, a delegation of authority </w:t>
      </w:r>
      <w:r w:rsidRPr="00D47841">
        <w:rPr>
          <w:rFonts w:ascii="Adobe Garamond Pro" w:hAnsi="Adobe Garamond Pro" w:cs="Times New Roman"/>
          <w:i/>
          <w:sz w:val="24"/>
          <w:szCs w:val="24"/>
        </w:rPr>
        <w:t xml:space="preserve">by the </w:t>
      </w:r>
      <w:r w:rsidR="006A6C66" w:rsidRPr="00D47841">
        <w:rPr>
          <w:rFonts w:ascii="Adobe Garamond Pro" w:hAnsi="Adobe Garamond Pro" w:cs="Times New Roman"/>
          <w:i/>
          <w:sz w:val="24"/>
          <w:szCs w:val="24"/>
        </w:rPr>
        <w:t>p</w:t>
      </w:r>
      <w:r w:rsidRPr="00D47841">
        <w:rPr>
          <w:rFonts w:ascii="Adobe Garamond Pro" w:hAnsi="Adobe Garamond Pro" w:cs="Times New Roman"/>
          <w:i/>
          <w:sz w:val="24"/>
          <w:szCs w:val="24"/>
        </w:rPr>
        <w:t>eople</w:t>
      </w:r>
      <w:r w:rsidRPr="00D47841">
        <w:rPr>
          <w:rFonts w:ascii="Adobe Garamond Pro" w:hAnsi="Adobe Garamond Pro" w:cs="Times New Roman"/>
          <w:sz w:val="24"/>
          <w:szCs w:val="24"/>
        </w:rPr>
        <w:t xml:space="preserve">. </w:t>
      </w:r>
      <w:r w:rsidR="006A6C66" w:rsidRPr="00D47841">
        <w:rPr>
          <w:rFonts w:ascii="Adobe Garamond Pro" w:hAnsi="Adobe Garamond Pro" w:cs="Times New Roman"/>
          <w:sz w:val="24"/>
          <w:szCs w:val="24"/>
        </w:rPr>
        <w:t>I</w:t>
      </w:r>
      <w:r w:rsidRPr="00D47841">
        <w:rPr>
          <w:rFonts w:ascii="Adobe Garamond Pro" w:hAnsi="Adobe Garamond Pro" w:cs="Times New Roman"/>
          <w:sz w:val="24"/>
          <w:szCs w:val="24"/>
        </w:rPr>
        <w:t xml:space="preserve">t takes a delegation of power from the </w:t>
      </w:r>
      <w:r w:rsidR="006A6C66" w:rsidRPr="00D47841">
        <w:rPr>
          <w:rFonts w:ascii="Adobe Garamond Pro" w:hAnsi="Adobe Garamond Pro" w:cs="Times New Roman"/>
          <w:sz w:val="24"/>
          <w:szCs w:val="24"/>
        </w:rPr>
        <w:t>p</w:t>
      </w:r>
      <w:r w:rsidRPr="00D47841">
        <w:rPr>
          <w:rFonts w:ascii="Adobe Garamond Pro" w:hAnsi="Adobe Garamond Pro" w:cs="Times New Roman"/>
          <w:sz w:val="24"/>
          <w:szCs w:val="24"/>
        </w:rPr>
        <w:t xml:space="preserve">eople to effect a change in an instrument created by a delegation of power from the </w:t>
      </w:r>
      <w:r w:rsidR="006A6C66" w:rsidRPr="00D47841">
        <w:rPr>
          <w:rFonts w:ascii="Adobe Garamond Pro" w:hAnsi="Adobe Garamond Pro" w:cs="Times New Roman"/>
          <w:sz w:val="24"/>
          <w:szCs w:val="24"/>
        </w:rPr>
        <w:t>p</w:t>
      </w:r>
      <w:r w:rsidRPr="00D47841">
        <w:rPr>
          <w:rFonts w:ascii="Adobe Garamond Pro" w:hAnsi="Adobe Garamond Pro" w:cs="Times New Roman"/>
          <w:sz w:val="24"/>
          <w:szCs w:val="24"/>
        </w:rPr>
        <w:t xml:space="preserve">eople. However, nothing in Article V textually or in the history of the Constitution suggests that the mere proposal of an amendment by convention organized on “Application” of the state legislatures involves a similar delegation of authority by the </w:t>
      </w:r>
      <w:r w:rsidR="006A6C66" w:rsidRPr="00D47841">
        <w:rPr>
          <w:rFonts w:ascii="Adobe Garamond Pro" w:hAnsi="Adobe Garamond Pro" w:cs="Times New Roman"/>
          <w:sz w:val="24"/>
          <w:szCs w:val="24"/>
        </w:rPr>
        <w:t>p</w:t>
      </w:r>
      <w:r w:rsidRPr="00D47841">
        <w:rPr>
          <w:rFonts w:ascii="Adobe Garamond Pro" w:hAnsi="Adobe Garamond Pro" w:cs="Times New Roman"/>
          <w:sz w:val="24"/>
          <w:szCs w:val="24"/>
        </w:rPr>
        <w:t>eople. To the contrary, as discussed above, the Founders repeatedly emphasized that the States as sovereigns—or in the words of Federalist 43 “State governments”—would have the equal authority to propose amendments by convention.</w:t>
      </w:r>
    </w:p>
    <w:p w14:paraId="7B8CE1EB" w14:textId="77777777" w:rsidR="00CC0E17" w:rsidRPr="00D47841" w:rsidRDefault="00CC0E17" w:rsidP="009748F8">
      <w:pPr>
        <w:jc w:val="both"/>
        <w:rPr>
          <w:rFonts w:ascii="Adobe Garamond Pro" w:hAnsi="Adobe Garamond Pro" w:cs="Times New Roman"/>
          <w:sz w:val="24"/>
          <w:szCs w:val="24"/>
        </w:rPr>
      </w:pPr>
    </w:p>
    <w:p w14:paraId="66C3EDAE" w14:textId="27220BAB" w:rsidR="00CC0E17" w:rsidRPr="00D47841" w:rsidRDefault="00CC0E17" w:rsidP="009748F8">
      <w:pPr>
        <w:jc w:val="both"/>
        <w:rPr>
          <w:rFonts w:ascii="Adobe Garamond Pro" w:hAnsi="Adobe Garamond Pro" w:cs="Times New Roman"/>
          <w:sz w:val="24"/>
          <w:szCs w:val="24"/>
        </w:rPr>
      </w:pPr>
      <w:r w:rsidRPr="00D47841">
        <w:rPr>
          <w:rFonts w:ascii="Adobe Garamond Pro" w:hAnsi="Adobe Garamond Pro" w:cs="Times New Roman"/>
          <w:sz w:val="24"/>
          <w:szCs w:val="24"/>
        </w:rPr>
        <w:t xml:space="preserve">Reliance on </w:t>
      </w:r>
      <w:r w:rsidRPr="00D47841">
        <w:rPr>
          <w:rFonts w:ascii="Adobe Garamond Pro" w:hAnsi="Adobe Garamond Pro" w:cs="Times New Roman"/>
          <w:i/>
          <w:sz w:val="24"/>
          <w:szCs w:val="24"/>
        </w:rPr>
        <w:t xml:space="preserve">U.S. Term Limits </w:t>
      </w:r>
      <w:r w:rsidRPr="00D47841">
        <w:rPr>
          <w:rFonts w:ascii="Adobe Garamond Pro" w:hAnsi="Adobe Garamond Pro" w:cs="Times New Roman"/>
          <w:sz w:val="24"/>
          <w:szCs w:val="24"/>
        </w:rPr>
        <w:t xml:space="preserve">is likewise misplaced. The case does not speak to Article V at all. It dealt with federal election qualifications. Significantly, the Court ruled: “States can exercise no powers whatsoever which </w:t>
      </w:r>
      <w:r w:rsidRPr="00D47841">
        <w:rPr>
          <w:rFonts w:ascii="Adobe Garamond Pro" w:hAnsi="Adobe Garamond Pro" w:cs="Times New Roman"/>
          <w:i/>
          <w:sz w:val="24"/>
          <w:szCs w:val="24"/>
        </w:rPr>
        <w:t xml:space="preserve">exclusively </w:t>
      </w:r>
      <w:r w:rsidRPr="00D47841">
        <w:rPr>
          <w:rFonts w:ascii="Adobe Garamond Pro" w:hAnsi="Adobe Garamond Pro" w:cs="Times New Roman"/>
          <w:sz w:val="24"/>
          <w:szCs w:val="24"/>
        </w:rPr>
        <w:t>spring out of the existence of the national government.” The use of the phrase “exclusively” is key. As discussed above, the “Application” power referenced in Article V does not “exclusively spring out of the existence of the national government,” it would have existed with or without the national government. To understand the nature and scope of the “Application” power and the convention triggered thereby, reference must be made to the traditional power of states to petition another governmental body for a desired outcome and to organize interstate conventions. That requires the application of Tenth Amendment principles.</w:t>
      </w:r>
    </w:p>
    <w:p w14:paraId="0582090D" w14:textId="77777777" w:rsidR="00CC0E17" w:rsidRPr="00D47841" w:rsidRDefault="00CC0E17" w:rsidP="009748F8">
      <w:pPr>
        <w:jc w:val="both"/>
        <w:rPr>
          <w:rFonts w:ascii="Adobe Garamond Pro" w:hAnsi="Adobe Garamond Pro" w:cs="Times New Roman"/>
          <w:sz w:val="24"/>
          <w:szCs w:val="24"/>
        </w:rPr>
      </w:pPr>
    </w:p>
    <w:p w14:paraId="3CE015CD" w14:textId="6B582303" w:rsidR="00CC0E17" w:rsidRPr="00D47841" w:rsidRDefault="00CC0E17" w:rsidP="009748F8">
      <w:pPr>
        <w:jc w:val="both"/>
        <w:rPr>
          <w:rFonts w:ascii="Adobe Garamond Pro" w:hAnsi="Adobe Garamond Pro" w:cs="Times New Roman"/>
          <w:sz w:val="24"/>
          <w:szCs w:val="24"/>
        </w:rPr>
      </w:pPr>
      <w:r w:rsidRPr="00D47841">
        <w:rPr>
          <w:rFonts w:ascii="Adobe Garamond Pro" w:hAnsi="Adobe Garamond Pro" w:cs="Times New Roman"/>
          <w:sz w:val="24"/>
          <w:szCs w:val="24"/>
        </w:rPr>
        <w:t>It is a theoretical error to insist that precedent governing the ratification power under Article V, which truly is entirely a construct of the federal constitution, applies to the amendment</w:t>
      </w:r>
      <w:r w:rsidR="00892B94" w:rsidRPr="00D47841">
        <w:rPr>
          <w:rFonts w:ascii="Adobe Garamond Pro" w:hAnsi="Adobe Garamond Pro" w:cs="Times New Roman"/>
          <w:sz w:val="24"/>
          <w:szCs w:val="24"/>
        </w:rPr>
        <w:t>-</w:t>
      </w:r>
      <w:r w:rsidRPr="00D47841">
        <w:rPr>
          <w:rFonts w:ascii="Adobe Garamond Pro" w:hAnsi="Adobe Garamond Pro" w:cs="Times New Roman"/>
          <w:sz w:val="24"/>
          <w:szCs w:val="24"/>
        </w:rPr>
        <w:t>by</w:t>
      </w:r>
      <w:r w:rsidR="00892B94" w:rsidRPr="00D47841">
        <w:rPr>
          <w:rFonts w:ascii="Adobe Garamond Pro" w:hAnsi="Adobe Garamond Pro" w:cs="Times New Roman"/>
          <w:sz w:val="24"/>
          <w:szCs w:val="24"/>
        </w:rPr>
        <w:t>-</w:t>
      </w:r>
      <w:r w:rsidRPr="00D47841">
        <w:rPr>
          <w:rFonts w:ascii="Adobe Garamond Pro" w:hAnsi="Adobe Garamond Pro" w:cs="Times New Roman"/>
          <w:sz w:val="24"/>
          <w:szCs w:val="24"/>
        </w:rPr>
        <w:t>convention process. That error creates a significant risk of encouraging Congress to claim that the determination of the agenda and logistics of an Article V convention is a “federal function,” for which the invocation of its Article I powers to take control of the convention is far more natural than deferring to state legislative powers, customs and practices that predate the Constitution. For this reason, an adverse assessment of the Tenth Amendment’s relationship to Article V threatens the latest research demonstrating that the Founders meant for Article V to organize a “Convention of States,” not a convention of Congress or the People.</w:t>
      </w:r>
      <w:r w:rsidRPr="00D47841">
        <w:rPr>
          <w:rStyle w:val="EndnoteReference"/>
          <w:rFonts w:ascii="Adobe Garamond Pro" w:hAnsi="Adobe Garamond Pro" w:cs="Times New Roman"/>
          <w:sz w:val="24"/>
          <w:szCs w:val="24"/>
        </w:rPr>
        <w:endnoteReference w:id="16"/>
      </w:r>
    </w:p>
    <w:p w14:paraId="2DA506F0" w14:textId="77777777" w:rsidR="00CC0E17" w:rsidRPr="00D47841" w:rsidRDefault="00CC0E17" w:rsidP="009748F8">
      <w:pPr>
        <w:jc w:val="both"/>
        <w:rPr>
          <w:rFonts w:ascii="Adobe Garamond Pro" w:hAnsi="Adobe Garamond Pro" w:cs="Times New Roman"/>
          <w:sz w:val="24"/>
          <w:szCs w:val="24"/>
        </w:rPr>
      </w:pPr>
    </w:p>
    <w:p w14:paraId="0B7458D0" w14:textId="18EFB0C5" w:rsidR="00CC0E17" w:rsidRPr="00D47841" w:rsidRDefault="00892B94" w:rsidP="009748F8">
      <w:pPr>
        <w:jc w:val="both"/>
        <w:rPr>
          <w:rFonts w:ascii="Adobe Garamond Pro" w:hAnsi="Adobe Garamond Pro" w:cs="Times New Roman"/>
          <w:sz w:val="24"/>
          <w:szCs w:val="24"/>
        </w:rPr>
      </w:pPr>
      <w:r w:rsidRPr="00D47841">
        <w:rPr>
          <w:rFonts w:ascii="Adobe Garamond Pro" w:hAnsi="Adobe Garamond Pro" w:cs="Times New Roman"/>
          <w:sz w:val="24"/>
          <w:szCs w:val="24"/>
        </w:rPr>
        <w:t>O</w:t>
      </w:r>
      <w:r w:rsidR="00CC0E17" w:rsidRPr="00D47841">
        <w:rPr>
          <w:rFonts w:ascii="Adobe Garamond Pro" w:hAnsi="Adobe Garamond Pro" w:cs="Times New Roman"/>
          <w:sz w:val="24"/>
          <w:szCs w:val="24"/>
        </w:rPr>
        <w:t xml:space="preserve">pposition to the application of Tenth Amendment principles in the Article V convention context </w:t>
      </w:r>
      <w:r w:rsidRPr="00D47841">
        <w:rPr>
          <w:rFonts w:ascii="Adobe Garamond Pro" w:hAnsi="Adobe Garamond Pro" w:cs="Times New Roman"/>
          <w:sz w:val="24"/>
          <w:szCs w:val="24"/>
        </w:rPr>
        <w:t xml:space="preserve">may </w:t>
      </w:r>
      <w:r w:rsidR="00CC0E17" w:rsidRPr="00D47841">
        <w:rPr>
          <w:rFonts w:ascii="Adobe Garamond Pro" w:hAnsi="Adobe Garamond Pro" w:cs="Times New Roman"/>
          <w:sz w:val="24"/>
          <w:szCs w:val="24"/>
        </w:rPr>
        <w:t>boil down to a prediction of a future Supreme Court’s ruling</w:t>
      </w:r>
      <w:r w:rsidRPr="00D47841">
        <w:rPr>
          <w:rFonts w:ascii="Adobe Garamond Pro" w:hAnsi="Adobe Garamond Pro" w:cs="Times New Roman"/>
          <w:sz w:val="24"/>
          <w:szCs w:val="24"/>
        </w:rPr>
        <w:t>.</w:t>
      </w:r>
      <w:r w:rsidR="00CC0E17" w:rsidRPr="00D47841">
        <w:rPr>
          <w:rFonts w:ascii="Adobe Garamond Pro" w:hAnsi="Adobe Garamond Pro" w:cs="Times New Roman"/>
          <w:sz w:val="24"/>
          <w:szCs w:val="24"/>
        </w:rPr>
        <w:t xml:space="preserve"> </w:t>
      </w:r>
      <w:r w:rsidRPr="00D47841">
        <w:rPr>
          <w:rFonts w:ascii="Adobe Garamond Pro" w:hAnsi="Adobe Garamond Pro" w:cs="Times New Roman"/>
          <w:sz w:val="24"/>
          <w:szCs w:val="24"/>
        </w:rPr>
        <w:t>This</w:t>
      </w:r>
      <w:r w:rsidR="00CC0E17" w:rsidRPr="00D47841">
        <w:rPr>
          <w:rFonts w:ascii="Adobe Garamond Pro" w:hAnsi="Adobe Garamond Pro" w:cs="Times New Roman"/>
          <w:sz w:val="24"/>
          <w:szCs w:val="24"/>
        </w:rPr>
        <w:t xml:space="preserve"> is certainly a fair opinion to hold, </w:t>
      </w:r>
      <w:r w:rsidRPr="00D47841">
        <w:rPr>
          <w:rFonts w:ascii="Adobe Garamond Pro" w:hAnsi="Adobe Garamond Pro" w:cs="Times New Roman"/>
          <w:sz w:val="24"/>
          <w:szCs w:val="24"/>
        </w:rPr>
        <w:t>but it is difficult to predict the outcome of a hypothetical case involving</w:t>
      </w:r>
      <w:r w:rsidR="00CC0E17" w:rsidRPr="00D47841">
        <w:rPr>
          <w:rFonts w:ascii="Adobe Garamond Pro" w:hAnsi="Adobe Garamond Pro" w:cs="Times New Roman"/>
          <w:sz w:val="24"/>
          <w:szCs w:val="24"/>
        </w:rPr>
        <w:t xml:space="preserve"> a question of first impression on multiple levels. </w:t>
      </w:r>
      <w:r w:rsidRPr="00D47841">
        <w:rPr>
          <w:rFonts w:ascii="Adobe Garamond Pro" w:hAnsi="Adobe Garamond Pro" w:cs="Times New Roman"/>
          <w:sz w:val="24"/>
          <w:szCs w:val="24"/>
        </w:rPr>
        <w:t>Because n</w:t>
      </w:r>
      <w:r w:rsidR="00CC0E17" w:rsidRPr="00D47841">
        <w:rPr>
          <w:rFonts w:ascii="Adobe Garamond Pro" w:hAnsi="Adobe Garamond Pro" w:cs="Times New Roman"/>
          <w:sz w:val="24"/>
          <w:szCs w:val="24"/>
        </w:rPr>
        <w:t>o one really knows whether or how the Court will rule</w:t>
      </w:r>
      <w:r w:rsidRPr="00D47841">
        <w:rPr>
          <w:rFonts w:ascii="Adobe Garamond Pro" w:hAnsi="Adobe Garamond Pro" w:cs="Times New Roman"/>
          <w:sz w:val="24"/>
          <w:szCs w:val="24"/>
        </w:rPr>
        <w:t>,</w:t>
      </w:r>
      <w:r w:rsidR="00CC0E17" w:rsidRPr="00D47841">
        <w:rPr>
          <w:rFonts w:ascii="Adobe Garamond Pro" w:hAnsi="Adobe Garamond Pro" w:cs="Times New Roman"/>
          <w:sz w:val="24"/>
          <w:szCs w:val="24"/>
        </w:rPr>
        <w:t xml:space="preserve"> states </w:t>
      </w:r>
      <w:r w:rsidRPr="00D47841">
        <w:rPr>
          <w:rFonts w:ascii="Adobe Garamond Pro" w:hAnsi="Adobe Garamond Pro" w:cs="Times New Roman"/>
          <w:sz w:val="24"/>
          <w:szCs w:val="24"/>
        </w:rPr>
        <w:t>should</w:t>
      </w:r>
      <w:r w:rsidR="00CC0E17" w:rsidRPr="00D47841">
        <w:rPr>
          <w:rFonts w:ascii="Adobe Garamond Pro" w:hAnsi="Adobe Garamond Pro" w:cs="Times New Roman"/>
          <w:sz w:val="24"/>
          <w:szCs w:val="24"/>
        </w:rPr>
        <w:t xml:space="preserve"> robustly exercise their sovereignty over the Article V convention process</w:t>
      </w:r>
      <w:r w:rsidRPr="00D47841">
        <w:rPr>
          <w:rFonts w:ascii="Adobe Garamond Pro" w:hAnsi="Adobe Garamond Pro" w:cs="Times New Roman"/>
          <w:sz w:val="24"/>
          <w:szCs w:val="24"/>
        </w:rPr>
        <w:t>;</w:t>
      </w:r>
      <w:r w:rsidR="00CC0E17" w:rsidRPr="00D47841">
        <w:rPr>
          <w:rFonts w:ascii="Adobe Garamond Pro" w:hAnsi="Adobe Garamond Pro" w:cs="Times New Roman"/>
          <w:sz w:val="24"/>
          <w:szCs w:val="24"/>
        </w:rPr>
        <w:t xml:space="preserve"> the Court</w:t>
      </w:r>
      <w:r w:rsidRPr="00D47841">
        <w:rPr>
          <w:rFonts w:ascii="Adobe Garamond Pro" w:hAnsi="Adobe Garamond Pro" w:cs="Times New Roman"/>
          <w:sz w:val="24"/>
          <w:szCs w:val="24"/>
        </w:rPr>
        <w:t xml:space="preserve"> should then</w:t>
      </w:r>
      <w:r w:rsidR="00CC0E17" w:rsidRPr="00D47841">
        <w:rPr>
          <w:rFonts w:ascii="Adobe Garamond Pro" w:hAnsi="Adobe Garamond Pro" w:cs="Times New Roman"/>
          <w:sz w:val="24"/>
          <w:szCs w:val="24"/>
        </w:rPr>
        <w:t xml:space="preserve"> follow the Founders’ clear guidance in this virgin legal territory. We should not grab any case that mentions “Article V” and try to mold it into a semblance of a </w:t>
      </w:r>
      <w:r w:rsidR="00CC0E17" w:rsidRPr="00D47841">
        <w:rPr>
          <w:rFonts w:ascii="Adobe Garamond Pro" w:hAnsi="Adobe Garamond Pro" w:cs="Times New Roman"/>
          <w:sz w:val="24"/>
          <w:szCs w:val="24"/>
        </w:rPr>
        <w:lastRenderedPageBreak/>
        <w:t>legal theory that threatens to undercut the whole Article V movement. And if we must leverage existing precedent to have a foothold in legal argument, we should rely on those cases that will guide the Court to enforcing the Founders’ promise of state control over the proposal of amendments by convention.</w:t>
      </w:r>
    </w:p>
    <w:p w14:paraId="097FCD27" w14:textId="77777777" w:rsidR="00CC0E17" w:rsidRPr="00D47841" w:rsidRDefault="00CC0E17" w:rsidP="009748F8">
      <w:pPr>
        <w:jc w:val="both"/>
        <w:rPr>
          <w:rFonts w:ascii="Adobe Garamond Pro" w:hAnsi="Adobe Garamond Pro" w:cs="Times New Roman"/>
          <w:sz w:val="24"/>
          <w:szCs w:val="24"/>
        </w:rPr>
      </w:pPr>
    </w:p>
    <w:p w14:paraId="06EDFD61" w14:textId="182FEED5" w:rsidR="00CC0E17" w:rsidRPr="00D47841" w:rsidRDefault="00CC0E17" w:rsidP="009748F8">
      <w:pPr>
        <w:jc w:val="both"/>
        <w:rPr>
          <w:rFonts w:ascii="Adobe Garamond Pro" w:hAnsi="Adobe Garamond Pro" w:cs="Times New Roman"/>
          <w:sz w:val="24"/>
          <w:szCs w:val="24"/>
        </w:rPr>
      </w:pPr>
      <w:r w:rsidRPr="00D47841">
        <w:rPr>
          <w:rFonts w:ascii="Adobe Garamond Pro" w:hAnsi="Adobe Garamond Pro" w:cs="Times New Roman"/>
          <w:sz w:val="24"/>
          <w:szCs w:val="24"/>
        </w:rPr>
        <w:t xml:space="preserve">From this vantage point, the Supreme Court’s ruling in </w:t>
      </w:r>
      <w:r w:rsidRPr="00D47841">
        <w:rPr>
          <w:rFonts w:ascii="Adobe Garamond Pro" w:hAnsi="Adobe Garamond Pro" w:cs="Times New Roman"/>
          <w:i/>
          <w:sz w:val="24"/>
          <w:szCs w:val="24"/>
        </w:rPr>
        <w:t>Ray v. Blair</w:t>
      </w:r>
      <w:r w:rsidRPr="00D47841">
        <w:rPr>
          <w:rStyle w:val="EndnoteReference"/>
          <w:rFonts w:ascii="Adobe Garamond Pro" w:hAnsi="Adobe Garamond Pro" w:cs="Times New Roman"/>
          <w:sz w:val="24"/>
          <w:szCs w:val="24"/>
        </w:rPr>
        <w:endnoteReference w:id="17"/>
      </w:r>
      <w:r w:rsidRPr="00D47841">
        <w:rPr>
          <w:rFonts w:ascii="Adobe Garamond Pro" w:hAnsi="Adobe Garamond Pro" w:cs="Times New Roman"/>
          <w:sz w:val="24"/>
          <w:szCs w:val="24"/>
        </w:rPr>
        <w:t xml:space="preserve"> constitutes strong legal support for reaching the right (i.e. originalist) result. The Court ruled, after all, that states had the right to require nominees for elector to the Electoral College to pledge to support the national candidate of a party. It ruled essentially that the states could do this because the Twelfth Amendment did not prohibit them from doing so—evoking the text of the Tenth Amendment (“The powers not delegated to the United States by the Constitution, </w:t>
      </w:r>
      <w:r w:rsidRPr="00D47841">
        <w:rPr>
          <w:rFonts w:ascii="Adobe Garamond Pro" w:hAnsi="Adobe Garamond Pro" w:cs="Times New Roman"/>
          <w:i/>
          <w:sz w:val="24"/>
          <w:szCs w:val="24"/>
        </w:rPr>
        <w:t>nor prohibited by it to the States,</w:t>
      </w:r>
      <w:r w:rsidRPr="00D47841">
        <w:rPr>
          <w:rFonts w:ascii="Adobe Garamond Pro" w:hAnsi="Adobe Garamond Pro" w:cs="Times New Roman"/>
          <w:sz w:val="24"/>
          <w:szCs w:val="24"/>
        </w:rPr>
        <w:t xml:space="preserve"> are reserved to the States respectively, or to the people</w:t>
      </w:r>
      <w:r w:rsidR="00D47841" w:rsidRPr="00D47841">
        <w:rPr>
          <w:rFonts w:ascii="Adobe Garamond Pro" w:hAnsi="Adobe Garamond Pro" w:cs="Times New Roman"/>
          <w:sz w:val="24"/>
          <w:szCs w:val="24"/>
        </w:rPr>
        <w:t>.</w:t>
      </w:r>
      <w:r w:rsidRPr="00D47841">
        <w:rPr>
          <w:rFonts w:ascii="Adobe Garamond Pro" w:hAnsi="Adobe Garamond Pro" w:cs="Times New Roman"/>
          <w:sz w:val="24"/>
          <w:szCs w:val="24"/>
        </w:rPr>
        <w:t>”). Likewise, nothing in Article V prohibits states from exerting control over the agenda or logistics of a convention for proposing amendments through their Application or other ancillary means within their traditional governing authority, such as legislating or compacting with other states to ensure their agents at the convention actually do their legal duty.</w:t>
      </w:r>
    </w:p>
    <w:p w14:paraId="731E2C28" w14:textId="77777777" w:rsidR="00CC0E17" w:rsidRPr="00D47841" w:rsidRDefault="00CC0E17" w:rsidP="009748F8">
      <w:pPr>
        <w:jc w:val="both"/>
        <w:rPr>
          <w:rFonts w:ascii="Adobe Garamond Pro" w:hAnsi="Adobe Garamond Pro" w:cs="Times New Roman"/>
          <w:sz w:val="24"/>
          <w:szCs w:val="24"/>
        </w:rPr>
      </w:pPr>
    </w:p>
    <w:p w14:paraId="6790E407" w14:textId="01EA27D1" w:rsidR="00CC0E17" w:rsidRPr="00D47841" w:rsidRDefault="00D47841" w:rsidP="002E142D">
      <w:pPr>
        <w:jc w:val="both"/>
        <w:rPr>
          <w:rFonts w:ascii="Adobe Garamond Pro" w:hAnsi="Adobe Garamond Pro" w:cs="Times New Roman"/>
          <w:sz w:val="24"/>
          <w:szCs w:val="24"/>
        </w:rPr>
      </w:pPr>
      <w:r w:rsidRPr="00D47841">
        <w:rPr>
          <w:rFonts w:ascii="Adobe Garamond Pro" w:hAnsi="Adobe Garamond Pro" w:cs="Times New Roman"/>
          <w:sz w:val="24"/>
          <w:szCs w:val="24"/>
        </w:rPr>
        <w:t>S</w:t>
      </w:r>
      <w:r w:rsidR="00CC0E17" w:rsidRPr="00D47841">
        <w:rPr>
          <w:rFonts w:ascii="Adobe Garamond Pro" w:hAnsi="Adobe Garamond Pro" w:cs="Times New Roman"/>
          <w:sz w:val="24"/>
          <w:szCs w:val="24"/>
        </w:rPr>
        <w:t xml:space="preserve">tate legislative control over an Article V convention is </w:t>
      </w:r>
      <w:r w:rsidRPr="00D47841">
        <w:rPr>
          <w:rFonts w:ascii="Adobe Garamond Pro" w:hAnsi="Adobe Garamond Pro" w:cs="Times New Roman"/>
          <w:sz w:val="24"/>
          <w:szCs w:val="24"/>
        </w:rPr>
        <w:t xml:space="preserve">supported </w:t>
      </w:r>
      <w:r w:rsidR="00CC0E17" w:rsidRPr="00D47841">
        <w:rPr>
          <w:rFonts w:ascii="Adobe Garamond Pro" w:hAnsi="Adobe Garamond Pro" w:cs="Times New Roman"/>
          <w:sz w:val="24"/>
          <w:szCs w:val="24"/>
        </w:rPr>
        <w:t>by</w:t>
      </w:r>
      <w:r w:rsidRPr="00D47841">
        <w:rPr>
          <w:rFonts w:ascii="Adobe Garamond Pro" w:hAnsi="Adobe Garamond Pro" w:cs="Times New Roman"/>
          <w:sz w:val="24"/>
          <w:szCs w:val="24"/>
        </w:rPr>
        <w:t xml:space="preserve"> last term’s</w:t>
      </w:r>
      <w:r w:rsidR="00CC0E17" w:rsidRPr="00D47841">
        <w:rPr>
          <w:rFonts w:ascii="Adobe Garamond Pro" w:hAnsi="Adobe Garamond Pro" w:cs="Times New Roman"/>
          <w:sz w:val="24"/>
          <w:szCs w:val="24"/>
        </w:rPr>
        <w:t xml:space="preserve"> </w:t>
      </w:r>
      <w:r w:rsidR="00CC0E17" w:rsidRPr="00D47841">
        <w:rPr>
          <w:rFonts w:ascii="Adobe Garamond Pro" w:hAnsi="Adobe Garamond Pro" w:cs="Times New Roman"/>
          <w:i/>
          <w:sz w:val="24"/>
          <w:szCs w:val="24"/>
        </w:rPr>
        <w:t>Arizona State Legislature v. Arizona Independent Redistricting Commission</w:t>
      </w:r>
      <w:r w:rsidR="00CC0E17" w:rsidRPr="00D47841">
        <w:rPr>
          <w:rFonts w:ascii="Adobe Garamond Pro" w:hAnsi="Adobe Garamond Pro" w:cs="Times New Roman"/>
          <w:sz w:val="24"/>
          <w:szCs w:val="24"/>
        </w:rPr>
        <w:t>,</w:t>
      </w:r>
      <w:r w:rsidR="00CC0E17" w:rsidRPr="00D47841">
        <w:rPr>
          <w:rStyle w:val="EndnoteReference"/>
          <w:rFonts w:ascii="Adobe Garamond Pro" w:hAnsi="Adobe Garamond Pro" w:cs="Times New Roman"/>
          <w:sz w:val="24"/>
          <w:szCs w:val="24"/>
        </w:rPr>
        <w:endnoteReference w:id="18"/>
      </w:r>
      <w:r w:rsidR="00CC0E17" w:rsidRPr="00D47841">
        <w:rPr>
          <w:rFonts w:ascii="Adobe Garamond Pro" w:hAnsi="Adobe Garamond Pro" w:cs="Times New Roman"/>
          <w:sz w:val="24"/>
          <w:szCs w:val="24"/>
        </w:rPr>
        <w:t xml:space="preserve"> the most recent Supreme Court case dealing with the nature of state legislat</w:t>
      </w:r>
      <w:r w:rsidRPr="00D47841">
        <w:rPr>
          <w:rFonts w:ascii="Adobe Garamond Pro" w:hAnsi="Adobe Garamond Pro" w:cs="Times New Roman"/>
          <w:sz w:val="24"/>
          <w:szCs w:val="24"/>
        </w:rPr>
        <w:t>ive power</w:t>
      </w:r>
      <w:r w:rsidR="00CC0E17" w:rsidRPr="00D47841">
        <w:rPr>
          <w:rFonts w:ascii="Adobe Garamond Pro" w:hAnsi="Adobe Garamond Pro" w:cs="Times New Roman"/>
          <w:sz w:val="24"/>
          <w:szCs w:val="24"/>
        </w:rPr>
        <w:t xml:space="preserve"> in our federal system. There, the Court expressly recognized</w:t>
      </w:r>
      <w:r w:rsidRPr="00D47841">
        <w:rPr>
          <w:rFonts w:ascii="Adobe Garamond Pro" w:hAnsi="Adobe Garamond Pro" w:cs="Times New Roman"/>
          <w:sz w:val="24"/>
          <w:szCs w:val="24"/>
        </w:rPr>
        <w:t xml:space="preserve"> that</w:t>
      </w:r>
      <w:r w:rsidR="00CC0E17" w:rsidRPr="00D47841">
        <w:rPr>
          <w:rFonts w:ascii="Adobe Garamond Pro" w:hAnsi="Adobe Garamond Pro" w:cs="Times New Roman"/>
          <w:sz w:val="24"/>
          <w:szCs w:val="24"/>
        </w:rPr>
        <w:t xml:space="preserve"> </w:t>
      </w:r>
      <w:r w:rsidR="002E142D">
        <w:rPr>
          <w:rFonts w:ascii="Adobe Garamond Pro" w:hAnsi="Adobe Garamond Pro" w:cs="Times New Roman"/>
          <w:sz w:val="24"/>
          <w:szCs w:val="24"/>
        </w:rPr>
        <w:t>the Elections “</w:t>
      </w:r>
      <w:r w:rsidR="002E142D" w:rsidRPr="002E142D">
        <w:rPr>
          <w:rFonts w:ascii="Adobe Garamond Pro" w:hAnsi="Adobe Garamond Pro" w:cs="Times New Roman"/>
          <w:sz w:val="24"/>
          <w:szCs w:val="24"/>
        </w:rPr>
        <w:t>Clause surely was not adopted to diminish</w:t>
      </w:r>
      <w:r w:rsidR="002E142D">
        <w:rPr>
          <w:rFonts w:ascii="Adobe Garamond Pro" w:hAnsi="Adobe Garamond Pro" w:cs="Times New Roman"/>
          <w:sz w:val="24"/>
          <w:szCs w:val="24"/>
        </w:rPr>
        <w:t xml:space="preserve"> </w:t>
      </w:r>
      <w:r w:rsidR="002E142D" w:rsidRPr="002E142D">
        <w:rPr>
          <w:rFonts w:ascii="Adobe Garamond Pro" w:hAnsi="Adobe Garamond Pro" w:cs="Times New Roman"/>
          <w:sz w:val="24"/>
          <w:szCs w:val="24"/>
        </w:rPr>
        <w:t>a State’s authority to determine its own lawmaking</w:t>
      </w:r>
      <w:r w:rsidR="002E142D">
        <w:rPr>
          <w:rFonts w:ascii="Adobe Garamond Pro" w:hAnsi="Adobe Garamond Pro" w:cs="Times New Roman"/>
          <w:sz w:val="24"/>
          <w:szCs w:val="24"/>
        </w:rPr>
        <w:t xml:space="preserve"> </w:t>
      </w:r>
      <w:r w:rsidR="002E142D" w:rsidRPr="002E142D">
        <w:rPr>
          <w:rFonts w:ascii="Adobe Garamond Pro" w:hAnsi="Adobe Garamond Pro" w:cs="Times New Roman"/>
          <w:sz w:val="24"/>
          <w:szCs w:val="24"/>
        </w:rPr>
        <w:t>processes</w:t>
      </w:r>
      <w:r w:rsidR="002E142D">
        <w:rPr>
          <w:rFonts w:ascii="Adobe Garamond Pro" w:hAnsi="Adobe Garamond Pro" w:cs="Times New Roman"/>
          <w:sz w:val="24"/>
          <w:szCs w:val="24"/>
        </w:rPr>
        <w:t>”</w:t>
      </w:r>
      <w:r w:rsidR="00BD0BEC">
        <w:rPr>
          <w:rFonts w:ascii="Adobe Garamond Pro" w:hAnsi="Adobe Garamond Pro" w:cs="Times New Roman"/>
          <w:sz w:val="24"/>
          <w:szCs w:val="24"/>
        </w:rPr>
        <w:t xml:space="preserve"> and allowed redistricting to be accomplished through a body created by ballot measure.”</w:t>
      </w:r>
      <w:r w:rsidR="00BD0BEC">
        <w:rPr>
          <w:rStyle w:val="EndnoteReference"/>
          <w:rFonts w:ascii="Adobe Garamond Pro" w:hAnsi="Adobe Garamond Pro" w:cs="Times New Roman"/>
          <w:sz w:val="24"/>
          <w:szCs w:val="24"/>
        </w:rPr>
        <w:endnoteReference w:id="19"/>
      </w:r>
      <w:r w:rsidR="00CC0E17" w:rsidRPr="00D47841">
        <w:rPr>
          <w:rFonts w:ascii="Adobe Garamond Pro" w:hAnsi="Adobe Garamond Pro" w:cs="Times New Roman"/>
          <w:sz w:val="24"/>
          <w:szCs w:val="24"/>
        </w:rPr>
        <w:t xml:space="preserve"> Based on this unacknowledged Tenth Amendment principle, the Court interpreted the redistricting authority of state legislatures under the Elections Clause as </w:t>
      </w:r>
      <w:r w:rsidR="002E142D">
        <w:rPr>
          <w:rFonts w:ascii="Adobe Garamond Pro" w:hAnsi="Adobe Garamond Pro" w:cs="Times New Roman"/>
          <w:sz w:val="24"/>
          <w:szCs w:val="24"/>
        </w:rPr>
        <w:t xml:space="preserve">yielding to </w:t>
      </w:r>
      <w:r w:rsidR="00CC0E17" w:rsidRPr="00D47841">
        <w:rPr>
          <w:rFonts w:ascii="Adobe Garamond Pro" w:hAnsi="Adobe Garamond Pro" w:cs="Times New Roman"/>
          <w:sz w:val="24"/>
          <w:szCs w:val="24"/>
        </w:rPr>
        <w:t xml:space="preserve">the entire reserved legislative power of the States, not as merely conferring power on a designated branch of state government. </w:t>
      </w:r>
      <w:r w:rsidR="004F58A6">
        <w:rPr>
          <w:rFonts w:ascii="Adobe Garamond Pro" w:hAnsi="Adobe Garamond Pro" w:cs="Times New Roman"/>
          <w:sz w:val="24"/>
          <w:szCs w:val="24"/>
        </w:rPr>
        <w:t xml:space="preserve">This is despite the Elections Clause appearing textually to confer power only on a designated branch of state government, and despite it dealing with a power to regulate federal elections that exclusively springs out of the existence of the federal government. </w:t>
      </w:r>
      <w:r w:rsidR="00CC0E17" w:rsidRPr="00D47841">
        <w:rPr>
          <w:rFonts w:ascii="Adobe Garamond Pro" w:hAnsi="Adobe Garamond Pro" w:cs="Times New Roman"/>
          <w:sz w:val="24"/>
          <w:szCs w:val="24"/>
        </w:rPr>
        <w:t>This ruling, perhaps ironically, provides a solid basis for buttressing state legislative control over the amendment by convention process.</w:t>
      </w:r>
      <w:r w:rsidR="004F58A6">
        <w:rPr>
          <w:rFonts w:ascii="Adobe Garamond Pro" w:hAnsi="Adobe Garamond Pro" w:cs="Times New Roman"/>
          <w:sz w:val="24"/>
          <w:szCs w:val="24"/>
        </w:rPr>
        <w:t xml:space="preserve"> After all, g</w:t>
      </w:r>
      <w:r w:rsidR="00BD0BEC">
        <w:rPr>
          <w:rFonts w:ascii="Adobe Garamond Pro" w:hAnsi="Adobe Garamond Pro" w:cs="Times New Roman"/>
          <w:sz w:val="24"/>
          <w:szCs w:val="24"/>
        </w:rPr>
        <w:t>iven the Founders’</w:t>
      </w:r>
      <w:r w:rsidR="004F58A6">
        <w:rPr>
          <w:rFonts w:ascii="Adobe Garamond Pro" w:hAnsi="Adobe Garamond Pro" w:cs="Times New Roman"/>
          <w:sz w:val="24"/>
          <w:szCs w:val="24"/>
        </w:rPr>
        <w:t xml:space="preserve"> repeated representations that states as states would have equal authority with Congress to propose</w:t>
      </w:r>
      <w:r w:rsidR="00BD0BEC">
        <w:rPr>
          <w:rFonts w:ascii="Adobe Garamond Pro" w:hAnsi="Adobe Garamond Pro" w:cs="Times New Roman"/>
          <w:sz w:val="24"/>
          <w:szCs w:val="24"/>
        </w:rPr>
        <w:t xml:space="preserve"> amendments, </w:t>
      </w:r>
      <w:r w:rsidR="004F58A6">
        <w:rPr>
          <w:rFonts w:ascii="Adobe Garamond Pro" w:hAnsi="Adobe Garamond Pro" w:cs="Times New Roman"/>
          <w:sz w:val="24"/>
          <w:szCs w:val="24"/>
        </w:rPr>
        <w:t xml:space="preserve">the convention mode of proposing amendments under </w:t>
      </w:r>
      <w:r w:rsidR="002E142D">
        <w:rPr>
          <w:rFonts w:ascii="Adobe Garamond Pro" w:hAnsi="Adobe Garamond Pro" w:cs="Times New Roman"/>
          <w:sz w:val="24"/>
          <w:szCs w:val="24"/>
        </w:rPr>
        <w:t xml:space="preserve">Article V </w:t>
      </w:r>
      <w:r w:rsidR="004F58A6">
        <w:rPr>
          <w:rFonts w:ascii="Adobe Garamond Pro" w:hAnsi="Adobe Garamond Pro" w:cs="Times New Roman"/>
          <w:sz w:val="24"/>
          <w:szCs w:val="24"/>
        </w:rPr>
        <w:t>is even more cogently read as embracing the full scope of state legislative authority than is the Elections Clause.</w:t>
      </w:r>
    </w:p>
    <w:p w14:paraId="0F5A5DF3" w14:textId="77777777" w:rsidR="00CC0E17" w:rsidRPr="00D47841" w:rsidRDefault="00CC0E17" w:rsidP="009748F8">
      <w:pPr>
        <w:jc w:val="both"/>
        <w:rPr>
          <w:rFonts w:ascii="Adobe Garamond Pro" w:hAnsi="Adobe Garamond Pro" w:cs="Times New Roman"/>
          <w:sz w:val="24"/>
          <w:szCs w:val="24"/>
        </w:rPr>
      </w:pPr>
    </w:p>
    <w:p w14:paraId="68A1ED38" w14:textId="1DBD3397" w:rsidR="00CC0E17" w:rsidRPr="00D47841" w:rsidRDefault="00CC0E17" w:rsidP="009748F8">
      <w:pPr>
        <w:jc w:val="both"/>
        <w:rPr>
          <w:rFonts w:ascii="Adobe Garamond Pro" w:hAnsi="Adobe Garamond Pro" w:cs="Times New Roman"/>
          <w:sz w:val="24"/>
          <w:szCs w:val="24"/>
        </w:rPr>
      </w:pPr>
      <w:r w:rsidRPr="00D47841">
        <w:rPr>
          <w:rFonts w:ascii="Adobe Garamond Pro" w:hAnsi="Adobe Garamond Pro" w:cs="Times New Roman"/>
          <w:sz w:val="24"/>
          <w:szCs w:val="24"/>
        </w:rPr>
        <w:t xml:space="preserve">Indeed, given the makeup of the </w:t>
      </w:r>
      <w:r w:rsidR="00D47841" w:rsidRPr="00D47841">
        <w:rPr>
          <w:rFonts w:ascii="Adobe Garamond Pro" w:hAnsi="Adobe Garamond Pro" w:cs="Times New Roman"/>
          <w:sz w:val="24"/>
          <w:szCs w:val="24"/>
        </w:rPr>
        <w:t xml:space="preserve">majority </w:t>
      </w:r>
      <w:r w:rsidRPr="00D47841">
        <w:rPr>
          <w:rFonts w:ascii="Adobe Garamond Pro" w:hAnsi="Adobe Garamond Pro" w:cs="Times New Roman"/>
          <w:sz w:val="24"/>
          <w:szCs w:val="24"/>
        </w:rPr>
        <w:t xml:space="preserve">in </w:t>
      </w:r>
      <w:r w:rsidRPr="00D47841">
        <w:rPr>
          <w:rFonts w:ascii="Adobe Garamond Pro" w:hAnsi="Adobe Garamond Pro" w:cs="Times New Roman"/>
          <w:i/>
          <w:sz w:val="24"/>
          <w:szCs w:val="24"/>
        </w:rPr>
        <w:t>Arizona State Legislature</w:t>
      </w:r>
      <w:r w:rsidRPr="00D47841">
        <w:rPr>
          <w:rFonts w:ascii="Adobe Garamond Pro" w:hAnsi="Adobe Garamond Pro" w:cs="Times New Roman"/>
          <w:sz w:val="24"/>
          <w:szCs w:val="24"/>
        </w:rPr>
        <w:t xml:space="preserve">, perhaps the best evidence of what the current Supreme Court would do </w:t>
      </w:r>
      <w:proofErr w:type="gramStart"/>
      <w:r w:rsidRPr="00D47841">
        <w:rPr>
          <w:rFonts w:ascii="Adobe Garamond Pro" w:hAnsi="Adobe Garamond Pro" w:cs="Times New Roman"/>
          <w:i/>
          <w:sz w:val="24"/>
          <w:szCs w:val="24"/>
        </w:rPr>
        <w:t>vis</w:t>
      </w:r>
      <w:proofErr w:type="gramEnd"/>
      <w:r w:rsidRPr="00D47841">
        <w:rPr>
          <w:rFonts w:ascii="Adobe Garamond Pro" w:hAnsi="Adobe Garamond Pro" w:cs="Times New Roman"/>
          <w:i/>
          <w:sz w:val="24"/>
          <w:szCs w:val="24"/>
        </w:rPr>
        <w:t xml:space="preserve"> a vis </w:t>
      </w:r>
      <w:r w:rsidRPr="00D47841">
        <w:rPr>
          <w:rFonts w:ascii="Adobe Garamond Pro" w:hAnsi="Adobe Garamond Pro" w:cs="Times New Roman"/>
          <w:sz w:val="24"/>
          <w:szCs w:val="24"/>
        </w:rPr>
        <w:t xml:space="preserve">state control over an Article V convention can be found in the words of </w:t>
      </w:r>
      <w:r w:rsidR="00D47841" w:rsidRPr="00D47841">
        <w:rPr>
          <w:rFonts w:ascii="Adobe Garamond Pro" w:hAnsi="Adobe Garamond Pro" w:cs="Times New Roman"/>
          <w:sz w:val="24"/>
          <w:szCs w:val="24"/>
        </w:rPr>
        <w:t xml:space="preserve">Justice </w:t>
      </w:r>
      <w:r w:rsidRPr="00D47841">
        <w:rPr>
          <w:rFonts w:ascii="Adobe Garamond Pro" w:hAnsi="Adobe Garamond Pro" w:cs="Times New Roman"/>
          <w:sz w:val="24"/>
          <w:szCs w:val="24"/>
        </w:rPr>
        <w:t xml:space="preserve">Antonin Scalia. In response to a question about whether an Article V convention can be limited, then-law professor Scalia said: </w:t>
      </w:r>
      <w:r w:rsidR="00D47841" w:rsidRPr="00D47841">
        <w:rPr>
          <w:rFonts w:ascii="Adobe Garamond Pro" w:hAnsi="Adobe Garamond Pro" w:cs="Times New Roman"/>
          <w:sz w:val="24"/>
          <w:szCs w:val="24"/>
        </w:rPr>
        <w:t>“</w:t>
      </w:r>
      <w:r w:rsidRPr="00D47841">
        <w:rPr>
          <w:rFonts w:ascii="Adobe Garamond Pro" w:hAnsi="Adobe Garamond Pro" w:cs="Times New Roman"/>
          <w:sz w:val="24"/>
          <w:szCs w:val="24"/>
        </w:rPr>
        <w:t xml:space="preserve">There is no reason not to interpret it to allow a limited call, if that is what the </w:t>
      </w:r>
      <w:r w:rsidRPr="00D47841">
        <w:rPr>
          <w:rFonts w:ascii="Adobe Garamond Pro" w:hAnsi="Adobe Garamond Pro" w:cs="Times New Roman"/>
          <w:i/>
          <w:sz w:val="24"/>
          <w:szCs w:val="24"/>
        </w:rPr>
        <w:t xml:space="preserve">states </w:t>
      </w:r>
      <w:r w:rsidRPr="00D47841">
        <w:rPr>
          <w:rFonts w:ascii="Adobe Garamond Pro" w:hAnsi="Adobe Garamond Pro" w:cs="Times New Roman"/>
          <w:sz w:val="24"/>
          <w:szCs w:val="24"/>
        </w:rPr>
        <w:t>desire.</w:t>
      </w:r>
      <w:r w:rsidR="00D47841" w:rsidRPr="00D47841">
        <w:rPr>
          <w:rFonts w:ascii="Adobe Garamond Pro" w:hAnsi="Adobe Garamond Pro" w:cs="Times New Roman"/>
          <w:sz w:val="24"/>
          <w:szCs w:val="24"/>
        </w:rPr>
        <w:t>”</w:t>
      </w:r>
      <w:r w:rsidRPr="00D47841">
        <w:rPr>
          <w:rStyle w:val="EndnoteReference"/>
          <w:rFonts w:ascii="Adobe Garamond Pro" w:hAnsi="Adobe Garamond Pro" w:cs="Times New Roman"/>
          <w:sz w:val="24"/>
          <w:szCs w:val="24"/>
        </w:rPr>
        <w:endnoteReference w:id="20"/>
      </w:r>
    </w:p>
    <w:p w14:paraId="271671B6" w14:textId="77777777" w:rsidR="00817F9F" w:rsidRPr="00D47841" w:rsidRDefault="00817F9F" w:rsidP="009748F8">
      <w:pPr>
        <w:jc w:val="both"/>
        <w:rPr>
          <w:rFonts w:ascii="Adobe Garamond Pro" w:hAnsi="Adobe Garamond Pro" w:cs="Times New Roman"/>
          <w:sz w:val="24"/>
          <w:szCs w:val="24"/>
        </w:rPr>
      </w:pPr>
    </w:p>
    <w:p w14:paraId="231509F7" w14:textId="756A6899" w:rsidR="00817F9F" w:rsidRPr="00D47841" w:rsidRDefault="00882BAC" w:rsidP="009748F8">
      <w:pPr>
        <w:jc w:val="both"/>
        <w:rPr>
          <w:rFonts w:ascii="Adobe Garamond Pro" w:hAnsi="Adobe Garamond Pro" w:cs="Times New Roman"/>
          <w:sz w:val="24"/>
          <w:szCs w:val="24"/>
        </w:rPr>
      </w:pPr>
      <w:r w:rsidRPr="00D47841">
        <w:rPr>
          <w:rFonts w:ascii="Adobe Garamond Pro" w:hAnsi="Adobe Garamond Pro" w:cs="Times New Roman"/>
          <w:sz w:val="24"/>
          <w:szCs w:val="24"/>
        </w:rPr>
        <w:t>There is no stronger</w:t>
      </w:r>
      <w:r w:rsidR="00817F9F" w:rsidRPr="00D47841">
        <w:rPr>
          <w:rFonts w:ascii="Adobe Garamond Pro" w:hAnsi="Adobe Garamond Pro" w:cs="Times New Roman"/>
          <w:sz w:val="24"/>
          <w:szCs w:val="24"/>
        </w:rPr>
        <w:t xml:space="preserve"> statement of Tenth Amendment principle </w:t>
      </w:r>
      <w:r w:rsidR="00141E15" w:rsidRPr="00D47841">
        <w:rPr>
          <w:rFonts w:ascii="Adobe Garamond Pro" w:hAnsi="Adobe Garamond Pro" w:cs="Times New Roman"/>
          <w:sz w:val="24"/>
          <w:szCs w:val="24"/>
        </w:rPr>
        <w:t xml:space="preserve">applied to Article V </w:t>
      </w:r>
      <w:r w:rsidR="00817F9F" w:rsidRPr="00D47841">
        <w:rPr>
          <w:rFonts w:ascii="Adobe Garamond Pro" w:hAnsi="Adobe Garamond Pro" w:cs="Times New Roman"/>
          <w:sz w:val="24"/>
          <w:szCs w:val="24"/>
        </w:rPr>
        <w:t>than that.</w:t>
      </w:r>
      <w:r w:rsidR="00277AA5" w:rsidRPr="00D47841">
        <w:rPr>
          <w:rFonts w:ascii="Adobe Garamond Pro" w:hAnsi="Adobe Garamond Pro" w:cs="Times New Roman"/>
          <w:sz w:val="24"/>
          <w:szCs w:val="24"/>
        </w:rPr>
        <w:t xml:space="preserve"> It is also the simplest reading of Article V. </w:t>
      </w:r>
      <w:r w:rsidR="00030C27" w:rsidRPr="00D47841">
        <w:rPr>
          <w:rFonts w:ascii="Adobe Garamond Pro" w:hAnsi="Adobe Garamond Pro" w:cs="Times New Roman"/>
          <w:sz w:val="24"/>
          <w:szCs w:val="24"/>
        </w:rPr>
        <w:t xml:space="preserve">The plain text of Article V </w:t>
      </w:r>
      <w:r w:rsidR="009211B3" w:rsidRPr="00D47841">
        <w:rPr>
          <w:rFonts w:ascii="Adobe Garamond Pro" w:hAnsi="Adobe Garamond Pro" w:cs="Times New Roman"/>
          <w:sz w:val="24"/>
          <w:szCs w:val="24"/>
        </w:rPr>
        <w:t>neither</w:t>
      </w:r>
      <w:r w:rsidR="00BF45EB" w:rsidRPr="00D47841">
        <w:rPr>
          <w:rFonts w:ascii="Adobe Garamond Pro" w:hAnsi="Adobe Garamond Pro" w:cs="Times New Roman"/>
          <w:sz w:val="24"/>
          <w:szCs w:val="24"/>
        </w:rPr>
        <w:t xml:space="preserve"> immunizes convention-goe</w:t>
      </w:r>
      <w:r w:rsidR="006C046F" w:rsidRPr="00D47841">
        <w:rPr>
          <w:rFonts w:ascii="Adobe Garamond Pro" w:hAnsi="Adobe Garamond Pro" w:cs="Times New Roman"/>
          <w:sz w:val="24"/>
          <w:szCs w:val="24"/>
        </w:rPr>
        <w:t xml:space="preserve">rs from state legislative </w:t>
      </w:r>
      <w:r w:rsidR="00BF45EB" w:rsidRPr="00D47841">
        <w:rPr>
          <w:rFonts w:ascii="Adobe Garamond Pro" w:hAnsi="Adobe Garamond Pro" w:cs="Times New Roman"/>
          <w:sz w:val="24"/>
          <w:szCs w:val="24"/>
        </w:rPr>
        <w:t>power nor</w:t>
      </w:r>
      <w:r w:rsidR="00030C27" w:rsidRPr="00D47841">
        <w:rPr>
          <w:rFonts w:ascii="Adobe Garamond Pro" w:hAnsi="Adobe Garamond Pro" w:cs="Times New Roman"/>
          <w:sz w:val="24"/>
          <w:szCs w:val="24"/>
        </w:rPr>
        <w:t xml:space="preserve"> </w:t>
      </w:r>
      <w:r w:rsidR="0065108E" w:rsidRPr="00D47841">
        <w:rPr>
          <w:rFonts w:ascii="Adobe Garamond Pro" w:hAnsi="Adobe Garamond Pro" w:cs="Times New Roman"/>
          <w:sz w:val="24"/>
          <w:szCs w:val="24"/>
        </w:rPr>
        <w:t>deputize</w:t>
      </w:r>
      <w:r w:rsidR="009211B3" w:rsidRPr="00D47841">
        <w:rPr>
          <w:rFonts w:ascii="Adobe Garamond Pro" w:hAnsi="Adobe Garamond Pro" w:cs="Times New Roman"/>
          <w:sz w:val="24"/>
          <w:szCs w:val="24"/>
        </w:rPr>
        <w:t>s</w:t>
      </w:r>
      <w:r w:rsidR="0065108E" w:rsidRPr="00D47841">
        <w:rPr>
          <w:rFonts w:ascii="Adobe Garamond Pro" w:hAnsi="Adobe Garamond Pro" w:cs="Times New Roman"/>
          <w:sz w:val="24"/>
          <w:szCs w:val="24"/>
        </w:rPr>
        <w:t xml:space="preserve"> </w:t>
      </w:r>
      <w:r w:rsidR="00BF2832" w:rsidRPr="00D47841">
        <w:rPr>
          <w:rFonts w:ascii="Adobe Garamond Pro" w:hAnsi="Adobe Garamond Pro" w:cs="Times New Roman"/>
          <w:sz w:val="24"/>
          <w:szCs w:val="24"/>
        </w:rPr>
        <w:t>the “Legislatures of two thirds of the several States”</w:t>
      </w:r>
      <w:r w:rsidR="0065108E" w:rsidRPr="00D47841">
        <w:rPr>
          <w:rFonts w:ascii="Adobe Garamond Pro" w:hAnsi="Adobe Garamond Pro" w:cs="Times New Roman"/>
          <w:sz w:val="24"/>
          <w:szCs w:val="24"/>
        </w:rPr>
        <w:t xml:space="preserve"> to serve as </w:t>
      </w:r>
      <w:r w:rsidR="00030C27" w:rsidRPr="00D47841">
        <w:rPr>
          <w:rFonts w:ascii="Adobe Garamond Pro" w:hAnsi="Adobe Garamond Pro" w:cs="Times New Roman"/>
          <w:sz w:val="24"/>
          <w:szCs w:val="24"/>
        </w:rPr>
        <w:t xml:space="preserve">federal </w:t>
      </w:r>
      <w:r w:rsidR="0065108E" w:rsidRPr="00D47841">
        <w:rPr>
          <w:rFonts w:ascii="Adobe Garamond Pro" w:hAnsi="Adobe Garamond Pro" w:cs="Times New Roman"/>
          <w:sz w:val="24"/>
          <w:szCs w:val="24"/>
        </w:rPr>
        <w:t>bodies that are somehow independent of their underlying state government</w:t>
      </w:r>
      <w:r w:rsidR="008670BD" w:rsidRPr="00D47841">
        <w:rPr>
          <w:rFonts w:ascii="Adobe Garamond Pro" w:hAnsi="Adobe Garamond Pro" w:cs="Times New Roman"/>
          <w:sz w:val="24"/>
          <w:szCs w:val="24"/>
        </w:rPr>
        <w:t>s</w:t>
      </w:r>
      <w:r w:rsidR="0065108E" w:rsidRPr="00D47841">
        <w:rPr>
          <w:rFonts w:ascii="Adobe Garamond Pro" w:hAnsi="Adobe Garamond Pro" w:cs="Times New Roman"/>
          <w:sz w:val="24"/>
          <w:szCs w:val="24"/>
        </w:rPr>
        <w:t>.</w:t>
      </w:r>
      <w:r w:rsidR="00BF45EB" w:rsidRPr="00D47841">
        <w:rPr>
          <w:rFonts w:ascii="Adobe Garamond Pro" w:hAnsi="Adobe Garamond Pro" w:cs="Times New Roman"/>
          <w:sz w:val="24"/>
          <w:szCs w:val="24"/>
        </w:rPr>
        <w:t xml:space="preserve"> </w:t>
      </w:r>
      <w:r w:rsidR="00BF2832" w:rsidRPr="00D47841">
        <w:rPr>
          <w:rFonts w:ascii="Adobe Garamond Pro" w:hAnsi="Adobe Garamond Pro" w:cs="Times New Roman"/>
          <w:sz w:val="24"/>
          <w:szCs w:val="24"/>
        </w:rPr>
        <w:t xml:space="preserve">Rather, Article V simply mandates Congress to call a convention “on the </w:t>
      </w:r>
      <w:r w:rsidR="00BF2832" w:rsidRPr="00D47841">
        <w:rPr>
          <w:rFonts w:ascii="Adobe Garamond Pro" w:hAnsi="Adobe Garamond Pro" w:cs="Times New Roman"/>
          <w:sz w:val="24"/>
          <w:szCs w:val="24"/>
        </w:rPr>
        <w:lastRenderedPageBreak/>
        <w:t>Application of the Legislatures of two thirds of the several States.” The most natural reading of Article V is that</w:t>
      </w:r>
      <w:r w:rsidR="00030C27" w:rsidRPr="00D47841">
        <w:rPr>
          <w:rFonts w:ascii="Adobe Garamond Pro" w:hAnsi="Adobe Garamond Pro" w:cs="Times New Roman"/>
          <w:sz w:val="24"/>
          <w:szCs w:val="24"/>
        </w:rPr>
        <w:t xml:space="preserve"> “Legislatures” are acting on behalf of their respective state governments in submitting their “Application,” t</w:t>
      </w:r>
      <w:r w:rsidR="0065108E" w:rsidRPr="00D47841">
        <w:rPr>
          <w:rFonts w:ascii="Adobe Garamond Pro" w:hAnsi="Adobe Garamond Pro" w:cs="Times New Roman"/>
          <w:sz w:val="24"/>
          <w:szCs w:val="24"/>
        </w:rPr>
        <w:t xml:space="preserve">he </w:t>
      </w:r>
      <w:r w:rsidR="00030C27" w:rsidRPr="00D47841">
        <w:rPr>
          <w:rFonts w:ascii="Adobe Garamond Pro" w:hAnsi="Adobe Garamond Pro" w:cs="Times New Roman"/>
          <w:sz w:val="24"/>
          <w:szCs w:val="24"/>
        </w:rPr>
        <w:t xml:space="preserve">convention call embraces the terms of the </w:t>
      </w:r>
      <w:r w:rsidR="0065108E" w:rsidRPr="00D47841">
        <w:rPr>
          <w:rFonts w:ascii="Adobe Garamond Pro" w:hAnsi="Adobe Garamond Pro" w:cs="Times New Roman"/>
          <w:sz w:val="24"/>
          <w:szCs w:val="24"/>
        </w:rPr>
        <w:t>“Application</w:t>
      </w:r>
      <w:r w:rsidR="00030C27" w:rsidRPr="00D47841">
        <w:rPr>
          <w:rFonts w:ascii="Adobe Garamond Pro" w:hAnsi="Adobe Garamond Pro" w:cs="Times New Roman"/>
          <w:sz w:val="24"/>
          <w:szCs w:val="24"/>
        </w:rPr>
        <w:t>,</w:t>
      </w:r>
      <w:r w:rsidR="0065108E" w:rsidRPr="00D47841">
        <w:rPr>
          <w:rFonts w:ascii="Adobe Garamond Pro" w:hAnsi="Adobe Garamond Pro" w:cs="Times New Roman"/>
          <w:sz w:val="24"/>
          <w:szCs w:val="24"/>
        </w:rPr>
        <w:t>”</w:t>
      </w:r>
      <w:r w:rsidR="00030C27" w:rsidRPr="00D47841">
        <w:rPr>
          <w:rFonts w:ascii="Adobe Garamond Pro" w:hAnsi="Adobe Garamond Pro" w:cs="Times New Roman"/>
          <w:sz w:val="24"/>
          <w:szCs w:val="24"/>
        </w:rPr>
        <w:t xml:space="preserve"> and </w:t>
      </w:r>
      <w:r w:rsidR="000822CF" w:rsidRPr="00D47841">
        <w:rPr>
          <w:rFonts w:ascii="Adobe Garamond Pro" w:hAnsi="Adobe Garamond Pro" w:cs="Times New Roman"/>
          <w:sz w:val="24"/>
          <w:szCs w:val="24"/>
        </w:rPr>
        <w:t xml:space="preserve">nothing prohibits the states from deploying their </w:t>
      </w:r>
      <w:r w:rsidR="00CE46CA" w:rsidRPr="00D47841">
        <w:rPr>
          <w:rFonts w:ascii="Adobe Garamond Pro" w:hAnsi="Adobe Garamond Pro" w:cs="Times New Roman"/>
          <w:sz w:val="24"/>
          <w:szCs w:val="24"/>
        </w:rPr>
        <w:t xml:space="preserve">plenary </w:t>
      </w:r>
      <w:r w:rsidR="008670BD" w:rsidRPr="00D47841">
        <w:rPr>
          <w:rFonts w:ascii="Adobe Garamond Pro" w:hAnsi="Adobe Garamond Pro" w:cs="Times New Roman"/>
          <w:sz w:val="24"/>
          <w:szCs w:val="24"/>
        </w:rPr>
        <w:t xml:space="preserve">legislative </w:t>
      </w:r>
      <w:r w:rsidR="00030C27" w:rsidRPr="00D47841">
        <w:rPr>
          <w:rFonts w:ascii="Adobe Garamond Pro" w:hAnsi="Adobe Garamond Pro" w:cs="Times New Roman"/>
          <w:sz w:val="24"/>
          <w:szCs w:val="24"/>
        </w:rPr>
        <w:t>p</w:t>
      </w:r>
      <w:r w:rsidR="0065108E" w:rsidRPr="00D47841">
        <w:rPr>
          <w:rFonts w:ascii="Adobe Garamond Pro" w:hAnsi="Adobe Garamond Pro" w:cs="Times New Roman"/>
          <w:sz w:val="24"/>
          <w:szCs w:val="24"/>
        </w:rPr>
        <w:t>ower to ensure that convention-goers</w:t>
      </w:r>
      <w:r w:rsidR="006E1872" w:rsidRPr="00D47841">
        <w:rPr>
          <w:rFonts w:ascii="Adobe Garamond Pro" w:hAnsi="Adobe Garamond Pro" w:cs="Times New Roman"/>
          <w:sz w:val="24"/>
          <w:szCs w:val="24"/>
        </w:rPr>
        <w:t xml:space="preserve"> </w:t>
      </w:r>
      <w:r w:rsidR="0065108E" w:rsidRPr="00D47841">
        <w:rPr>
          <w:rFonts w:ascii="Adobe Garamond Pro" w:hAnsi="Adobe Garamond Pro" w:cs="Times New Roman"/>
          <w:sz w:val="24"/>
          <w:szCs w:val="24"/>
        </w:rPr>
        <w:t xml:space="preserve">actually </w:t>
      </w:r>
      <w:r w:rsidR="00030C27" w:rsidRPr="00D47841">
        <w:rPr>
          <w:rFonts w:ascii="Adobe Garamond Pro" w:hAnsi="Adobe Garamond Pro" w:cs="Times New Roman"/>
          <w:sz w:val="24"/>
          <w:szCs w:val="24"/>
        </w:rPr>
        <w:t xml:space="preserve">heed </w:t>
      </w:r>
      <w:r w:rsidR="0065108E" w:rsidRPr="00D47841">
        <w:rPr>
          <w:rFonts w:ascii="Adobe Garamond Pro" w:hAnsi="Adobe Garamond Pro" w:cs="Times New Roman"/>
          <w:sz w:val="24"/>
          <w:szCs w:val="24"/>
        </w:rPr>
        <w:t xml:space="preserve">the </w:t>
      </w:r>
      <w:r w:rsidR="00030C27" w:rsidRPr="00D47841">
        <w:rPr>
          <w:rFonts w:ascii="Adobe Garamond Pro" w:hAnsi="Adobe Garamond Pro" w:cs="Times New Roman"/>
          <w:sz w:val="24"/>
          <w:szCs w:val="24"/>
        </w:rPr>
        <w:t>“</w:t>
      </w:r>
      <w:r w:rsidR="00DC5EBA" w:rsidRPr="00D47841">
        <w:rPr>
          <w:rFonts w:ascii="Adobe Garamond Pro" w:hAnsi="Adobe Garamond Pro" w:cs="Times New Roman"/>
          <w:sz w:val="24"/>
          <w:szCs w:val="24"/>
        </w:rPr>
        <w:t>Application” and follow the Constitution.</w:t>
      </w:r>
    </w:p>
    <w:p w14:paraId="792C2111" w14:textId="77777777" w:rsidR="00084A8C" w:rsidRDefault="00084A8C" w:rsidP="009748F8">
      <w:pPr>
        <w:jc w:val="both"/>
        <w:rPr>
          <w:rFonts w:ascii="Adobe Garamond Pro" w:hAnsi="Adobe Garamond Pro" w:cs="Times New Roman"/>
          <w:sz w:val="24"/>
          <w:szCs w:val="24"/>
        </w:rPr>
      </w:pPr>
    </w:p>
    <w:p w14:paraId="6CE2CE31" w14:textId="77777777" w:rsidR="00D47841" w:rsidRDefault="00D47841" w:rsidP="009748F8">
      <w:pPr>
        <w:jc w:val="both"/>
        <w:rPr>
          <w:rFonts w:ascii="Adobe Garamond Pro" w:hAnsi="Adobe Garamond Pro" w:cs="Times New Roman"/>
          <w:sz w:val="24"/>
          <w:szCs w:val="24"/>
        </w:rPr>
      </w:pPr>
    </w:p>
    <w:p w14:paraId="540D0CE2" w14:textId="77777777" w:rsidR="00D47841" w:rsidRPr="00D47841" w:rsidRDefault="00D47841" w:rsidP="009748F8">
      <w:pPr>
        <w:jc w:val="both"/>
        <w:rPr>
          <w:rFonts w:ascii="Adobe Garamond Pro" w:hAnsi="Adobe Garamond Pro" w:cs="Times New Roman"/>
          <w:sz w:val="24"/>
          <w:szCs w:val="24"/>
        </w:rPr>
      </w:pPr>
    </w:p>
    <w:p w14:paraId="2CFD8F4D" w14:textId="2C04318E" w:rsidR="00084A8C" w:rsidRPr="00D47841" w:rsidRDefault="00084A8C" w:rsidP="009748F8">
      <w:pPr>
        <w:jc w:val="both"/>
        <w:rPr>
          <w:rFonts w:ascii="Adobe Garamond Pro" w:hAnsi="Adobe Garamond Pro" w:cs="Times New Roman"/>
          <w:sz w:val="24"/>
          <w:szCs w:val="24"/>
        </w:rPr>
      </w:pPr>
      <w:r w:rsidRPr="00D47841">
        <w:rPr>
          <w:rFonts w:ascii="Adobe Garamond Pro" w:hAnsi="Adobe Garamond Pro" w:cs="Times New Roman"/>
          <w:sz w:val="24"/>
          <w:szCs w:val="24"/>
        </w:rPr>
        <w:t xml:space="preserve">Nick Dranias is President &amp; Executive Director within the Office of the President of Compact for America Educational Foundation, Inc. He is also a Research Fellow and Policy Advisor with the Heartland Institute. Dranias previously served as General Counsel and Constitutional Policy Director for the Goldwater Institute, where he held the Clarence J. and Katherine P. Duncan Chair and directed the Joseph and Dorothy Donnelly Moller Center. Dranias led the Goldwater Institute’s successful challenge to Arizona’s system of government campaign financing to the Supreme Court. Dranias also serves as a constitutional scholar, authoring scholarly articles dealing with a wide spectrum of issues in constitutional and regulatory policy. </w:t>
      </w:r>
    </w:p>
    <w:sectPr w:rsidR="00084A8C" w:rsidRPr="00D47841">
      <w:endnotePr>
        <w:numFmt w:val="decimal"/>
      </w:endnotePr>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B241BB" w15:done="0"/>
  <w15:commentEx w15:paraId="5C0F63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27BCC" w14:textId="77777777" w:rsidR="00921FA9" w:rsidRDefault="00921FA9" w:rsidP="00EE3AF5">
      <w:r>
        <w:separator/>
      </w:r>
    </w:p>
  </w:endnote>
  <w:endnote w:type="continuationSeparator" w:id="0">
    <w:p w14:paraId="7BC8F258" w14:textId="77777777" w:rsidR="00921FA9" w:rsidRDefault="00921FA9" w:rsidP="00EE3AF5">
      <w:r>
        <w:continuationSeparator/>
      </w:r>
    </w:p>
  </w:endnote>
  <w:endnote w:id="1">
    <w:p w14:paraId="11668FA7" w14:textId="07C37000" w:rsidR="00CC0E17" w:rsidRPr="00D47841" w:rsidRDefault="00CC0E17" w:rsidP="00D47841">
      <w:pPr>
        <w:pStyle w:val="EndnoteText"/>
        <w:rPr>
          <w:rFonts w:ascii="Adobe Garamond Pro" w:hAnsi="Adobe Garamond Pro"/>
        </w:rPr>
      </w:pPr>
      <w:r w:rsidRPr="00D47841">
        <w:rPr>
          <w:rStyle w:val="EndnoteReference"/>
          <w:rFonts w:ascii="Adobe Garamond Pro" w:hAnsi="Adobe Garamond Pro"/>
        </w:rPr>
        <w:endnoteRef/>
      </w:r>
      <w:r w:rsidRPr="00D47841">
        <w:rPr>
          <w:rFonts w:ascii="Adobe Garamond Pro" w:hAnsi="Adobe Garamond Pro" w:cs="Times New Roman"/>
        </w:rPr>
        <w:t xml:space="preserve"> </w:t>
      </w:r>
      <w:r w:rsidRPr="00D47841">
        <w:rPr>
          <w:rFonts w:ascii="Adobe Garamond Pro" w:hAnsi="Adobe Garamond Pro"/>
        </w:rPr>
        <w:t xml:space="preserve">Rob Natelson, </w:t>
      </w:r>
      <w:r w:rsidRPr="00D47841">
        <w:rPr>
          <w:rFonts w:ascii="Adobe Garamond Pro" w:hAnsi="Adobe Garamond Pro"/>
          <w:i/>
        </w:rPr>
        <w:t>The Constitution’s Article V, Not the 10th Amendment, Gives State Legislatures Their Power in the Amendment Process</w:t>
      </w:r>
      <w:r w:rsidRPr="00D47841">
        <w:rPr>
          <w:rFonts w:ascii="Adobe Garamond Pro" w:hAnsi="Adobe Garamond Pro"/>
        </w:rPr>
        <w:t xml:space="preserve"> </w:t>
      </w:r>
      <w:r w:rsidR="00B46B15">
        <w:rPr>
          <w:rFonts w:ascii="Adobe Garamond Pro" w:hAnsi="Adobe Garamond Pro"/>
        </w:rPr>
        <w:t>(</w:t>
      </w:r>
      <w:r w:rsidRPr="00D47841">
        <w:rPr>
          <w:rFonts w:ascii="Adobe Garamond Pro" w:hAnsi="Adobe Garamond Pro"/>
        </w:rPr>
        <w:t>Dec. 18, 2015</w:t>
      </w:r>
      <w:r w:rsidR="00B46B15">
        <w:rPr>
          <w:rFonts w:ascii="Adobe Garamond Pro" w:hAnsi="Adobe Garamond Pro"/>
        </w:rPr>
        <w:t xml:space="preserve">), </w:t>
      </w:r>
      <w:r w:rsidR="00B46B15">
        <w:rPr>
          <w:rFonts w:ascii="Adobe Garamond Pro" w:hAnsi="Adobe Garamond Pro"/>
          <w:i/>
        </w:rPr>
        <w:t>available at</w:t>
      </w:r>
      <w:r w:rsidRPr="00D47841">
        <w:rPr>
          <w:rFonts w:ascii="Adobe Garamond Pro" w:hAnsi="Adobe Garamond Pro"/>
        </w:rPr>
        <w:t xml:space="preserve"> http://www.americanthinker.com/articles/2015/12/the_constitutions_article_v_not_the_10th_amendment_gives_state_legislatures_their_power_in_the_amendment_process.html. </w:t>
      </w:r>
    </w:p>
  </w:endnote>
  <w:endnote w:id="2">
    <w:p w14:paraId="75308D0F" w14:textId="4A45F032" w:rsidR="00CC0E17" w:rsidRPr="00D47841" w:rsidRDefault="00CC0E17" w:rsidP="00D47841">
      <w:pPr>
        <w:autoSpaceDE w:val="0"/>
        <w:autoSpaceDN w:val="0"/>
        <w:adjustRightInd w:val="0"/>
        <w:rPr>
          <w:rFonts w:ascii="Adobe Garamond Pro" w:hAnsi="Adobe Garamond Pro"/>
          <w:sz w:val="20"/>
          <w:szCs w:val="20"/>
        </w:rPr>
      </w:pPr>
      <w:r w:rsidRPr="00D47841">
        <w:rPr>
          <w:rStyle w:val="EndnoteReference"/>
          <w:rFonts w:ascii="Adobe Garamond Pro" w:hAnsi="Adobe Garamond Pro"/>
          <w:sz w:val="20"/>
          <w:szCs w:val="20"/>
        </w:rPr>
        <w:endnoteRef/>
      </w:r>
      <w:r w:rsidRPr="00D47841">
        <w:rPr>
          <w:rFonts w:ascii="Adobe Garamond Pro" w:hAnsi="Adobe Garamond Pro"/>
          <w:sz w:val="20"/>
          <w:szCs w:val="20"/>
        </w:rPr>
        <w:t xml:space="preserve"> </w:t>
      </w:r>
      <w:r w:rsidRPr="00D47841">
        <w:rPr>
          <w:rFonts w:ascii="Adobe Garamond Pro" w:hAnsi="Adobe Garamond Pro" w:cs="Times New Roman"/>
          <w:smallCaps/>
          <w:sz w:val="20"/>
          <w:szCs w:val="20"/>
        </w:rPr>
        <w:t>The Federalist No. 43</w:t>
      </w:r>
      <w:r w:rsidRPr="00D47841">
        <w:rPr>
          <w:rFonts w:ascii="Adobe Garamond Pro" w:hAnsi="Adobe Garamond Pro" w:cs="Times New Roman"/>
          <w:sz w:val="20"/>
          <w:szCs w:val="20"/>
        </w:rPr>
        <w:t xml:space="preserve">, (James Madison) (Gideon ed., 1818) </w:t>
      </w:r>
      <w:r w:rsidRPr="00D47841">
        <w:rPr>
          <w:rFonts w:ascii="Adobe Garamond Pro" w:hAnsi="Adobe Garamond Pro" w:cs="Times New Roman"/>
          <w:i/>
          <w:sz w:val="20"/>
          <w:szCs w:val="20"/>
        </w:rPr>
        <w:t>available at</w:t>
      </w:r>
      <w:r w:rsidRPr="00D47841">
        <w:rPr>
          <w:rFonts w:ascii="Adobe Garamond Pro" w:hAnsi="Adobe Garamond Pro" w:cs="Times New Roman"/>
          <w:sz w:val="20"/>
          <w:szCs w:val="20"/>
        </w:rPr>
        <w:t xml:space="preserve"> oll.libertyfund.org/?option=com_staticxt&amp;staticfile=show.php%3Ftitle=788&amp;chapter=108643&amp;layout=html&amp;Itemid=27.</w:t>
      </w:r>
    </w:p>
  </w:endnote>
  <w:endnote w:id="3">
    <w:p w14:paraId="0143C09B" w14:textId="781C860D" w:rsidR="00CC0E17" w:rsidRPr="00D47841" w:rsidRDefault="00CC0E17" w:rsidP="00D47841">
      <w:pPr>
        <w:pStyle w:val="EndnoteText"/>
        <w:rPr>
          <w:rFonts w:ascii="Adobe Garamond Pro" w:hAnsi="Adobe Garamond Pro"/>
        </w:rPr>
      </w:pPr>
      <w:r w:rsidRPr="00D47841">
        <w:rPr>
          <w:rStyle w:val="EndnoteReference"/>
          <w:rFonts w:ascii="Adobe Garamond Pro" w:hAnsi="Adobe Garamond Pro"/>
        </w:rPr>
        <w:endnoteRef/>
      </w:r>
      <w:r w:rsidRPr="00D47841">
        <w:rPr>
          <w:rFonts w:ascii="Adobe Garamond Pro" w:hAnsi="Adobe Garamond Pro"/>
        </w:rPr>
        <w:t xml:space="preserve"> </w:t>
      </w:r>
      <w:r w:rsidRPr="00D47841">
        <w:rPr>
          <w:rFonts w:ascii="Adobe Garamond Pro" w:hAnsi="Adobe Garamond Pro"/>
          <w:smallCaps/>
        </w:rPr>
        <w:t>The Federalist No. 85</w:t>
      </w:r>
      <w:r w:rsidRPr="00D47841">
        <w:rPr>
          <w:rFonts w:ascii="Adobe Garamond Pro" w:hAnsi="Adobe Garamond Pro"/>
        </w:rPr>
        <w:t xml:space="preserve">, (Alexander Hamilton) </w:t>
      </w:r>
      <w:r w:rsidRPr="00D47841">
        <w:rPr>
          <w:rFonts w:ascii="Adobe Garamond Pro" w:hAnsi="Adobe Garamond Pro" w:cs="Times New Roman"/>
        </w:rPr>
        <w:t xml:space="preserve">(Gideon ed., 1818) </w:t>
      </w:r>
      <w:r w:rsidRPr="00D47841">
        <w:rPr>
          <w:rFonts w:ascii="Adobe Garamond Pro" w:hAnsi="Adobe Garamond Pro" w:cs="Times New Roman"/>
          <w:i/>
        </w:rPr>
        <w:t>available at</w:t>
      </w:r>
      <w:r w:rsidRPr="00D47841">
        <w:rPr>
          <w:rFonts w:ascii="Adobe Garamond Pro" w:hAnsi="Adobe Garamond Pro" w:cs="Times New Roman"/>
        </w:rPr>
        <w:t xml:space="preserve"> oll.libertyfund.org/?option=com_staticxt&amp;staticfile=show.php%3Ftitle=788&amp;chapter=108643&amp;layout=html&amp;Itemid=27</w:t>
      </w:r>
      <w:r w:rsidRPr="00D47841">
        <w:rPr>
          <w:rFonts w:ascii="Adobe Garamond Pro" w:hAnsi="Adobe Garamond Pro"/>
        </w:rPr>
        <w:t xml:space="preserve">. </w:t>
      </w:r>
    </w:p>
  </w:endnote>
  <w:endnote w:id="4">
    <w:p w14:paraId="59BA79F6" w14:textId="14A89F11" w:rsidR="00CC0E17" w:rsidRPr="00D47841" w:rsidRDefault="00CC0E17" w:rsidP="00D47841">
      <w:pPr>
        <w:pStyle w:val="EndnoteText"/>
        <w:rPr>
          <w:rFonts w:ascii="Adobe Garamond Pro" w:hAnsi="Adobe Garamond Pro"/>
          <w:smallCaps/>
        </w:rPr>
      </w:pPr>
      <w:r w:rsidRPr="00D47841">
        <w:rPr>
          <w:rStyle w:val="EndnoteReference"/>
          <w:rFonts w:ascii="Adobe Garamond Pro" w:hAnsi="Adobe Garamond Pro"/>
        </w:rPr>
        <w:endnoteRef/>
      </w:r>
      <w:r w:rsidRPr="00D47841">
        <w:rPr>
          <w:rFonts w:ascii="Adobe Garamond Pro" w:hAnsi="Adobe Garamond Pro"/>
        </w:rPr>
        <w:t xml:space="preserve"> </w:t>
      </w:r>
      <w:r w:rsidRPr="00D47841">
        <w:rPr>
          <w:rFonts w:ascii="Adobe Garamond Pro" w:hAnsi="Adobe Garamond Pro"/>
          <w:smallCaps/>
        </w:rPr>
        <w:t>The Debates in the Several State Conventions of the Adoption of the Federal</w:t>
      </w:r>
    </w:p>
    <w:p w14:paraId="4E11EB54" w14:textId="0DA0EBE2" w:rsidR="00CC0E17" w:rsidRPr="00D47841" w:rsidRDefault="00CC0E17" w:rsidP="00D47841">
      <w:pPr>
        <w:pStyle w:val="EndnoteText"/>
        <w:rPr>
          <w:rFonts w:ascii="Adobe Garamond Pro" w:hAnsi="Adobe Garamond Pro"/>
        </w:rPr>
      </w:pPr>
      <w:r w:rsidRPr="00D47841">
        <w:rPr>
          <w:rFonts w:ascii="Adobe Garamond Pro" w:hAnsi="Adobe Garamond Pro"/>
          <w:smallCaps/>
        </w:rPr>
        <w:t>Constitution</w:t>
      </w:r>
      <w:r w:rsidRPr="00D47841">
        <w:rPr>
          <w:rFonts w:ascii="Adobe Garamond Pro" w:hAnsi="Adobe Garamond Pro"/>
        </w:rPr>
        <w:t>, vol. 3 at 101</w:t>
      </w:r>
      <w:r w:rsidRPr="00D47841">
        <w:rPr>
          <w:rFonts w:ascii="Adobe Garamond Pro" w:hAnsi="Adobe Garamond Pro"/>
        </w:rPr>
        <w:softHyphen/>
        <w:t>–</w:t>
      </w:r>
      <w:r w:rsidRPr="00D47841">
        <w:rPr>
          <w:rFonts w:ascii="Adobe Garamond Pro" w:hAnsi="Adobe Garamond Pro"/>
        </w:rPr>
        <w:softHyphen/>
        <w:t xml:space="preserve">02 (Virginia) (Johnathon Elliott Ed., 1827), </w:t>
      </w:r>
      <w:r w:rsidRPr="00D47841">
        <w:rPr>
          <w:rFonts w:ascii="Adobe Garamond Pro" w:hAnsi="Adobe Garamond Pro"/>
          <w:i/>
        </w:rPr>
        <w:t>available at</w:t>
      </w:r>
      <w:r w:rsidRPr="00D47841">
        <w:rPr>
          <w:rFonts w:ascii="Adobe Garamond Pro" w:hAnsi="Adobe Garamond Pro"/>
        </w:rPr>
        <w:t xml:space="preserve"> files.libertyfund.org/files/1907/1314.03_Bk.pdf.</w:t>
      </w:r>
    </w:p>
  </w:endnote>
  <w:endnote w:id="5">
    <w:p w14:paraId="73DF4D65" w14:textId="5347A21A" w:rsidR="00CC0E17" w:rsidRPr="00D47841" w:rsidRDefault="00CC0E17" w:rsidP="00D47841">
      <w:pPr>
        <w:pStyle w:val="EndnoteText"/>
        <w:rPr>
          <w:rFonts w:ascii="Adobe Garamond Pro" w:hAnsi="Adobe Garamond Pro"/>
        </w:rPr>
      </w:pPr>
      <w:r w:rsidRPr="00D47841">
        <w:rPr>
          <w:rStyle w:val="EndnoteReference"/>
          <w:rFonts w:ascii="Adobe Garamond Pro" w:hAnsi="Adobe Garamond Pro"/>
        </w:rPr>
        <w:endnoteRef/>
      </w:r>
      <w:r w:rsidR="00B46B15">
        <w:rPr>
          <w:rFonts w:ascii="Adobe Garamond Pro" w:hAnsi="Adobe Garamond Pro"/>
        </w:rPr>
        <w:t xml:space="preserve"> </w:t>
      </w:r>
      <w:r w:rsidRPr="00B46B15">
        <w:rPr>
          <w:rFonts w:ascii="Adobe Garamond Pro" w:hAnsi="Adobe Garamond Pro"/>
          <w:i/>
        </w:rPr>
        <w:t>From George Washington to John Armstrong, 25 April 1788</w:t>
      </w:r>
      <w:r w:rsidRPr="00D47841">
        <w:rPr>
          <w:rFonts w:ascii="Adobe Garamond Pro" w:hAnsi="Adobe Garamond Pro"/>
        </w:rPr>
        <w:t xml:space="preserve">, </w:t>
      </w:r>
      <w:r w:rsidRPr="00B46B15">
        <w:rPr>
          <w:rFonts w:ascii="Adobe Garamond Pro" w:hAnsi="Adobe Garamond Pro"/>
          <w:smallCaps/>
        </w:rPr>
        <w:t>Founders Online, National Archives</w:t>
      </w:r>
      <w:r w:rsidR="00B46B15">
        <w:rPr>
          <w:rFonts w:ascii="Adobe Garamond Pro" w:hAnsi="Adobe Garamond Pro"/>
        </w:rPr>
        <w:t xml:space="preserve">, </w:t>
      </w:r>
      <w:r w:rsidR="00B46B15">
        <w:rPr>
          <w:rFonts w:ascii="Adobe Garamond Pro" w:hAnsi="Adobe Garamond Pro"/>
          <w:i/>
        </w:rPr>
        <w:t>available at</w:t>
      </w:r>
      <w:r w:rsidRPr="00D47841">
        <w:rPr>
          <w:rFonts w:ascii="Adobe Garamond Pro" w:hAnsi="Adobe Garamond Pro"/>
        </w:rPr>
        <w:t xml:space="preserve"> http://founders.archives.gov/documents/Washington/04-06-0</w:t>
      </w:r>
      <w:r w:rsidR="00B46B15">
        <w:rPr>
          <w:rFonts w:ascii="Adobe Garamond Pro" w:hAnsi="Adobe Garamond Pro"/>
        </w:rPr>
        <w:t>2-0201</w:t>
      </w:r>
      <w:r w:rsidRPr="00D47841">
        <w:rPr>
          <w:rFonts w:ascii="Adobe Garamond Pro" w:hAnsi="Adobe Garamond Pro"/>
        </w:rPr>
        <w:t>.</w:t>
      </w:r>
    </w:p>
  </w:endnote>
  <w:endnote w:id="6">
    <w:p w14:paraId="69C49DAA" w14:textId="52DD6A6C" w:rsidR="00CC0E17" w:rsidRPr="00D47841" w:rsidRDefault="00CC0E17" w:rsidP="00D47841">
      <w:pPr>
        <w:pStyle w:val="EndnoteText"/>
        <w:rPr>
          <w:rFonts w:ascii="Adobe Garamond Pro" w:hAnsi="Adobe Garamond Pro"/>
        </w:rPr>
      </w:pPr>
      <w:r w:rsidRPr="00D47841">
        <w:rPr>
          <w:rStyle w:val="EndnoteReference"/>
          <w:rFonts w:ascii="Adobe Garamond Pro" w:hAnsi="Adobe Garamond Pro"/>
        </w:rPr>
        <w:endnoteRef/>
      </w:r>
      <w:r w:rsidRPr="00D47841">
        <w:rPr>
          <w:rFonts w:ascii="Adobe Garamond Pro" w:hAnsi="Adobe Garamond Pro"/>
        </w:rPr>
        <w:t xml:space="preserve"> U.S. Const. Art. V. </w:t>
      </w:r>
    </w:p>
  </w:endnote>
  <w:endnote w:id="7">
    <w:p w14:paraId="50380557" w14:textId="2EF75B49" w:rsidR="00CC0E17" w:rsidRPr="00D47841" w:rsidRDefault="00CC0E17" w:rsidP="00D47841">
      <w:pPr>
        <w:pStyle w:val="EndnoteText"/>
        <w:rPr>
          <w:rFonts w:ascii="Adobe Garamond Pro" w:hAnsi="Adobe Garamond Pro"/>
        </w:rPr>
      </w:pPr>
      <w:r w:rsidRPr="00D47841">
        <w:rPr>
          <w:rStyle w:val="EndnoteReference"/>
          <w:rFonts w:ascii="Adobe Garamond Pro" w:hAnsi="Adobe Garamond Pro"/>
        </w:rPr>
        <w:endnoteRef/>
      </w:r>
      <w:r w:rsidRPr="00D47841">
        <w:rPr>
          <w:rFonts w:ascii="Adobe Garamond Pro" w:hAnsi="Adobe Garamond Pro"/>
        </w:rPr>
        <w:t xml:space="preserve"> “Letter from Nick Dranias and Kevin Gutzman, Chairman Craig and Members of the Judiciary Committee of the Assembly of State Legislatures,” June 3, 2015</w:t>
      </w:r>
      <w:r w:rsidR="00B46B15">
        <w:rPr>
          <w:rFonts w:ascii="Adobe Garamond Pro" w:hAnsi="Adobe Garamond Pro"/>
        </w:rPr>
        <w:t xml:space="preserve">, </w:t>
      </w:r>
      <w:r w:rsidR="00B46B15">
        <w:rPr>
          <w:rFonts w:ascii="Adobe Garamond Pro" w:hAnsi="Adobe Garamond Pro"/>
          <w:i/>
        </w:rPr>
        <w:t>available at</w:t>
      </w:r>
      <w:r w:rsidRPr="00D47841">
        <w:rPr>
          <w:rFonts w:ascii="Adobe Garamond Pro" w:hAnsi="Adobe Garamond Pro"/>
        </w:rPr>
        <w:t xml:space="preserve"> http://media.wix.com/ugd/e48202_ea3d26f51b0644578089f52b6db7e50b.pdf.</w:t>
      </w:r>
    </w:p>
  </w:endnote>
  <w:endnote w:id="8">
    <w:p w14:paraId="4B569A86" w14:textId="6141D067" w:rsidR="00CC0E17" w:rsidRPr="00D47841" w:rsidRDefault="00CC0E17" w:rsidP="00D47841">
      <w:pPr>
        <w:pStyle w:val="EndnoteText"/>
        <w:rPr>
          <w:rFonts w:ascii="Adobe Garamond Pro" w:hAnsi="Adobe Garamond Pro"/>
        </w:rPr>
      </w:pPr>
      <w:r w:rsidRPr="00D47841">
        <w:rPr>
          <w:rStyle w:val="EndnoteReference"/>
          <w:rFonts w:ascii="Adobe Garamond Pro" w:hAnsi="Adobe Garamond Pro"/>
        </w:rPr>
        <w:endnoteRef/>
      </w:r>
      <w:r w:rsidRPr="00D47841">
        <w:rPr>
          <w:rFonts w:ascii="Adobe Garamond Pro" w:hAnsi="Adobe Garamond Pro"/>
        </w:rPr>
        <w:t xml:space="preserve"> </w:t>
      </w:r>
      <w:r w:rsidRPr="00D47841">
        <w:rPr>
          <w:rFonts w:ascii="Adobe Garamond Pro" w:hAnsi="Adobe Garamond Pro"/>
          <w:smallCaps/>
        </w:rPr>
        <w:t>The Federalist No. 85</w:t>
      </w:r>
      <w:r w:rsidRPr="00D47841">
        <w:rPr>
          <w:rFonts w:ascii="Adobe Garamond Pro" w:hAnsi="Adobe Garamond Pro"/>
        </w:rPr>
        <w:t>, (Alexander Hamilton), supra note 3.</w:t>
      </w:r>
    </w:p>
  </w:endnote>
  <w:endnote w:id="9">
    <w:p w14:paraId="03085790" w14:textId="179A1D85" w:rsidR="00CC0E17" w:rsidRPr="00D47841" w:rsidRDefault="00CC0E17" w:rsidP="00D47841">
      <w:pPr>
        <w:pStyle w:val="EndnoteText"/>
        <w:rPr>
          <w:rFonts w:ascii="Adobe Garamond Pro" w:hAnsi="Adobe Garamond Pro"/>
        </w:rPr>
      </w:pPr>
      <w:r w:rsidRPr="00D47841">
        <w:rPr>
          <w:rStyle w:val="EndnoteReference"/>
          <w:rFonts w:ascii="Adobe Garamond Pro" w:hAnsi="Adobe Garamond Pro"/>
        </w:rPr>
        <w:endnoteRef/>
      </w:r>
      <w:r w:rsidRPr="00D47841">
        <w:rPr>
          <w:rFonts w:ascii="Adobe Garamond Pro" w:hAnsi="Adobe Garamond Pro"/>
        </w:rPr>
        <w:t xml:space="preserve"> U.S. Const., Article IV, section 4 (emphasis added).</w:t>
      </w:r>
    </w:p>
  </w:endnote>
  <w:endnote w:id="10">
    <w:p w14:paraId="6BC60551" w14:textId="20DBFCAC" w:rsidR="00CC0E17" w:rsidRPr="00D47841" w:rsidRDefault="00CC0E17" w:rsidP="00D47841">
      <w:pPr>
        <w:pStyle w:val="EndnoteText"/>
        <w:rPr>
          <w:rFonts w:ascii="Adobe Garamond Pro" w:hAnsi="Adobe Garamond Pro"/>
        </w:rPr>
      </w:pPr>
      <w:r w:rsidRPr="00D47841">
        <w:rPr>
          <w:rStyle w:val="EndnoteReference"/>
          <w:rFonts w:ascii="Adobe Garamond Pro" w:hAnsi="Adobe Garamond Pro"/>
        </w:rPr>
        <w:endnoteRef/>
      </w:r>
      <w:r w:rsidRPr="00D47841">
        <w:rPr>
          <w:rFonts w:ascii="Adobe Garamond Pro" w:hAnsi="Adobe Garamond Pro"/>
        </w:rPr>
        <w:t xml:space="preserve"> </w:t>
      </w:r>
      <w:r w:rsidRPr="00D47841">
        <w:rPr>
          <w:rFonts w:ascii="Adobe Garamond Pro" w:hAnsi="Adobe Garamond Pro"/>
          <w:i/>
        </w:rPr>
        <w:t>Hawke v. Smith</w:t>
      </w:r>
      <w:r w:rsidRPr="00D47841">
        <w:rPr>
          <w:rFonts w:ascii="Adobe Garamond Pro" w:hAnsi="Adobe Garamond Pro"/>
        </w:rPr>
        <w:t>, 253 U.S. 221 (1920).</w:t>
      </w:r>
    </w:p>
  </w:endnote>
  <w:endnote w:id="11">
    <w:p w14:paraId="6DF9548F" w14:textId="32790DE7" w:rsidR="00CC0E17" w:rsidRPr="00D47841" w:rsidRDefault="00CC0E17" w:rsidP="00D47841">
      <w:pPr>
        <w:pStyle w:val="EndnoteText"/>
        <w:rPr>
          <w:rFonts w:ascii="Adobe Garamond Pro" w:hAnsi="Adobe Garamond Pro"/>
        </w:rPr>
      </w:pPr>
      <w:r w:rsidRPr="00D47841">
        <w:rPr>
          <w:rStyle w:val="EndnoteReference"/>
          <w:rFonts w:ascii="Adobe Garamond Pro" w:hAnsi="Adobe Garamond Pro"/>
        </w:rPr>
        <w:endnoteRef/>
      </w:r>
      <w:r w:rsidRPr="00D47841">
        <w:rPr>
          <w:rFonts w:ascii="Adobe Garamond Pro" w:hAnsi="Adobe Garamond Pro"/>
        </w:rPr>
        <w:t xml:space="preserve"> </w:t>
      </w:r>
      <w:proofErr w:type="spellStart"/>
      <w:r w:rsidRPr="00D47841">
        <w:rPr>
          <w:rFonts w:ascii="Adobe Garamond Pro" w:hAnsi="Adobe Garamond Pro"/>
          <w:i/>
        </w:rPr>
        <w:t>Leser</w:t>
      </w:r>
      <w:proofErr w:type="spellEnd"/>
      <w:r w:rsidRPr="00D47841">
        <w:rPr>
          <w:rFonts w:ascii="Adobe Garamond Pro" w:hAnsi="Adobe Garamond Pro"/>
          <w:i/>
        </w:rPr>
        <w:t xml:space="preserve"> v. Garnett</w:t>
      </w:r>
      <w:r w:rsidRPr="00D47841">
        <w:rPr>
          <w:rFonts w:ascii="Adobe Garamond Pro" w:hAnsi="Adobe Garamond Pro"/>
        </w:rPr>
        <w:t>, 258 U.S. 130 (1922).</w:t>
      </w:r>
    </w:p>
  </w:endnote>
  <w:endnote w:id="12">
    <w:p w14:paraId="418C5330" w14:textId="77777777" w:rsidR="00D25FD2" w:rsidRPr="00D47841" w:rsidRDefault="00D25FD2" w:rsidP="00D25FD2">
      <w:pPr>
        <w:pStyle w:val="EndnoteText"/>
        <w:rPr>
          <w:rFonts w:ascii="Adobe Garamond Pro" w:hAnsi="Adobe Garamond Pro"/>
        </w:rPr>
      </w:pPr>
      <w:r w:rsidRPr="00D47841">
        <w:rPr>
          <w:rStyle w:val="EndnoteReference"/>
          <w:rFonts w:ascii="Adobe Garamond Pro" w:hAnsi="Adobe Garamond Pro"/>
        </w:rPr>
        <w:endnoteRef/>
      </w:r>
      <w:r w:rsidRPr="00D47841">
        <w:rPr>
          <w:rFonts w:ascii="Adobe Garamond Pro" w:hAnsi="Adobe Garamond Pro"/>
        </w:rPr>
        <w:t xml:space="preserve"> </w:t>
      </w:r>
      <w:r w:rsidRPr="00D47841">
        <w:rPr>
          <w:rFonts w:ascii="Adobe Garamond Pro" w:hAnsi="Adobe Garamond Pro"/>
          <w:i/>
        </w:rPr>
        <w:t>U.S. v. Sprague, et al.,</w:t>
      </w:r>
      <w:r w:rsidRPr="00D47841">
        <w:rPr>
          <w:rFonts w:ascii="Adobe Garamond Pro" w:hAnsi="Adobe Garamond Pro"/>
        </w:rPr>
        <w:t xml:space="preserve"> 282 U.S. 716 (1931).</w:t>
      </w:r>
    </w:p>
  </w:endnote>
  <w:endnote w:id="13">
    <w:p w14:paraId="3F602278" w14:textId="77777777" w:rsidR="00D25FD2" w:rsidRPr="00D47841" w:rsidRDefault="00D25FD2" w:rsidP="00D25FD2">
      <w:pPr>
        <w:pStyle w:val="EndnoteText"/>
        <w:rPr>
          <w:rFonts w:ascii="Adobe Garamond Pro" w:hAnsi="Adobe Garamond Pro"/>
        </w:rPr>
      </w:pPr>
      <w:r w:rsidRPr="00D47841">
        <w:rPr>
          <w:rStyle w:val="EndnoteReference"/>
          <w:rFonts w:ascii="Adobe Garamond Pro" w:hAnsi="Adobe Garamond Pro"/>
        </w:rPr>
        <w:endnoteRef/>
      </w:r>
      <w:r w:rsidRPr="00D47841">
        <w:rPr>
          <w:rFonts w:ascii="Adobe Garamond Pro" w:hAnsi="Adobe Garamond Pro"/>
        </w:rPr>
        <w:t xml:space="preserve"> </w:t>
      </w:r>
      <w:r w:rsidRPr="00D47841">
        <w:rPr>
          <w:rFonts w:ascii="Adobe Garamond Pro" w:hAnsi="Adobe Garamond Pro"/>
          <w:i/>
        </w:rPr>
        <w:t>U.S. Term Limits Inc., et al. v. Ray Thornton et al.</w:t>
      </w:r>
      <w:r w:rsidRPr="00D47841">
        <w:rPr>
          <w:rFonts w:ascii="Adobe Garamond Pro" w:hAnsi="Adobe Garamond Pro"/>
        </w:rPr>
        <w:t>, 514 U.S. 779 (1995).</w:t>
      </w:r>
    </w:p>
  </w:endnote>
  <w:endnote w:id="14">
    <w:p w14:paraId="13BDDBDF" w14:textId="0669CA2F" w:rsidR="00BA7020" w:rsidRDefault="00BA7020">
      <w:pPr>
        <w:pStyle w:val="EndnoteText"/>
      </w:pPr>
      <w:r>
        <w:rPr>
          <w:rStyle w:val="EndnoteReference"/>
        </w:rPr>
        <w:endnoteRef/>
      </w:r>
      <w:r>
        <w:t xml:space="preserve"> </w:t>
      </w:r>
      <w:r w:rsidRPr="00D47841">
        <w:rPr>
          <w:rFonts w:ascii="Adobe Garamond Pro" w:hAnsi="Adobe Garamond Pro"/>
        </w:rPr>
        <w:t xml:space="preserve">Rob Natelson, </w:t>
      </w:r>
      <w:r w:rsidRPr="00D47841">
        <w:rPr>
          <w:rFonts w:ascii="Adobe Garamond Pro" w:hAnsi="Adobe Garamond Pro"/>
          <w:i/>
        </w:rPr>
        <w:t>The Constitution’s Article V, Not the 10th Amendment, Gives State Legislatures Their Power in the Amendment Process</w:t>
      </w:r>
      <w:r w:rsidRPr="00D47841">
        <w:rPr>
          <w:rFonts w:ascii="Adobe Garamond Pro" w:hAnsi="Adobe Garamond Pro"/>
        </w:rPr>
        <w:t xml:space="preserve"> </w:t>
      </w:r>
      <w:r w:rsidR="00B46B15">
        <w:rPr>
          <w:rFonts w:ascii="Adobe Garamond Pro" w:hAnsi="Adobe Garamond Pro"/>
        </w:rPr>
        <w:t>(</w:t>
      </w:r>
      <w:r w:rsidRPr="00D47841">
        <w:rPr>
          <w:rFonts w:ascii="Adobe Garamond Pro" w:hAnsi="Adobe Garamond Pro"/>
        </w:rPr>
        <w:t>Dec. 18, 2015</w:t>
      </w:r>
      <w:r w:rsidR="00B46B15">
        <w:rPr>
          <w:rFonts w:ascii="Adobe Garamond Pro" w:hAnsi="Adobe Garamond Pro"/>
        </w:rPr>
        <w:t xml:space="preserve">), </w:t>
      </w:r>
      <w:r w:rsidR="00B46B15">
        <w:rPr>
          <w:rFonts w:ascii="Adobe Garamond Pro" w:hAnsi="Adobe Garamond Pro"/>
          <w:i/>
        </w:rPr>
        <w:t>available at</w:t>
      </w:r>
      <w:r w:rsidRPr="00D47841">
        <w:rPr>
          <w:rFonts w:ascii="Adobe Garamond Pro" w:hAnsi="Adobe Garamond Pro"/>
        </w:rPr>
        <w:t xml:space="preserve"> http://www.americanthinker.com/articles/2015/12/the_constitutions_article_v_not_the_10th_amendment_gives_state_legislatures_their_power_in_the_amendment_process.html.</w:t>
      </w:r>
    </w:p>
  </w:endnote>
  <w:endnote w:id="15">
    <w:p w14:paraId="48E61D64" w14:textId="607D3B99" w:rsidR="00ED5532" w:rsidRPr="00B46B15" w:rsidRDefault="00BA7020" w:rsidP="00ED5532">
      <w:pPr>
        <w:pStyle w:val="EndnoteText"/>
        <w:rPr>
          <w:i/>
        </w:rPr>
      </w:pPr>
      <w:r>
        <w:rPr>
          <w:rStyle w:val="EndnoteReference"/>
        </w:rPr>
        <w:endnoteRef/>
      </w:r>
      <w:r>
        <w:t xml:space="preserve"> </w:t>
      </w:r>
      <w:r w:rsidR="00D25FD2" w:rsidRPr="00B46B15">
        <w:rPr>
          <w:i/>
        </w:rPr>
        <w:t>Id</w:t>
      </w:r>
      <w:r w:rsidR="00B46B15">
        <w:t>.</w:t>
      </w:r>
      <w:r w:rsidR="00D25FD2">
        <w:t xml:space="preserve">; </w:t>
      </w:r>
      <w:r>
        <w:t>Bill Walker,</w:t>
      </w:r>
      <w:r w:rsidR="00ED5532">
        <w:t xml:space="preserve"> </w:t>
      </w:r>
      <w:r w:rsidR="00ED5532" w:rsidRPr="00B46B15">
        <w:rPr>
          <w:i/>
        </w:rPr>
        <w:t>The Article V Convention: Discussing</w:t>
      </w:r>
    </w:p>
    <w:p w14:paraId="2C4B81A6" w14:textId="2C4901A4" w:rsidR="00BA7020" w:rsidRDefault="00ED5532" w:rsidP="00ED5532">
      <w:pPr>
        <w:pStyle w:val="EndnoteText"/>
      </w:pPr>
      <w:r w:rsidRPr="00B46B15">
        <w:rPr>
          <w:i/>
        </w:rPr>
        <w:t>The Reality Versus The Fantasy</w:t>
      </w:r>
      <w:r>
        <w:t>, T</w:t>
      </w:r>
      <w:r w:rsidR="00B46B15">
        <w:t>.</w:t>
      </w:r>
      <w:r>
        <w:t xml:space="preserve"> M. Cooley L</w:t>
      </w:r>
      <w:r w:rsidR="00B46B15">
        <w:t>.</w:t>
      </w:r>
      <w:r>
        <w:t xml:space="preserve"> Rev</w:t>
      </w:r>
      <w:r w:rsidR="00B46B15">
        <w:t>.</w:t>
      </w:r>
      <w:r>
        <w:t xml:space="preserve">, </w:t>
      </w:r>
      <w:r w:rsidRPr="00ED5532">
        <w:t xml:space="preserve">Vol. 28:1 </w:t>
      </w:r>
      <w:r>
        <w:t>, 23-30 (2011)</w:t>
      </w:r>
      <w:r w:rsidR="00B46B15">
        <w:t xml:space="preserve">, </w:t>
      </w:r>
      <w:r w:rsidR="00B46B15">
        <w:rPr>
          <w:i/>
        </w:rPr>
        <w:t>available at</w:t>
      </w:r>
      <w:r>
        <w:t xml:space="preserve"> </w:t>
      </w:r>
      <w:r w:rsidR="00BA7020" w:rsidRPr="00BA7020">
        <w:t>http://www.cooley.edu/lawreview/_docs/Walker.pdf</w:t>
      </w:r>
    </w:p>
  </w:endnote>
  <w:endnote w:id="16">
    <w:p w14:paraId="69E00E12" w14:textId="77811460" w:rsidR="00CC0E17" w:rsidRPr="00D47841" w:rsidRDefault="00CC0E17" w:rsidP="00D47841">
      <w:pPr>
        <w:pStyle w:val="EndnoteText"/>
        <w:rPr>
          <w:rFonts w:ascii="Adobe Garamond Pro" w:hAnsi="Adobe Garamond Pro"/>
        </w:rPr>
      </w:pPr>
      <w:r w:rsidRPr="00D47841">
        <w:rPr>
          <w:rStyle w:val="EndnoteReference"/>
          <w:rFonts w:ascii="Adobe Garamond Pro" w:hAnsi="Adobe Garamond Pro"/>
        </w:rPr>
        <w:endnoteRef/>
      </w:r>
      <w:r w:rsidRPr="00D47841">
        <w:rPr>
          <w:rFonts w:ascii="Adobe Garamond Pro" w:hAnsi="Adobe Garamond Pro"/>
        </w:rPr>
        <w:t xml:space="preserve"> Nick Dranias, </w:t>
      </w:r>
      <w:r w:rsidRPr="00D47841">
        <w:rPr>
          <w:rFonts w:ascii="Adobe Garamond Pro" w:hAnsi="Adobe Garamond Pro"/>
          <w:i/>
        </w:rPr>
        <w:t>Introducing “Article V 2.0": The Compact for a Balanced Budget</w:t>
      </w:r>
      <w:r w:rsidRPr="00D47841">
        <w:rPr>
          <w:rFonts w:ascii="Adobe Garamond Pro" w:hAnsi="Adobe Garamond Pro"/>
        </w:rPr>
        <w:t>, Heartland Institute Policy Study No. 134 (July 2014),</w:t>
      </w:r>
      <w:r w:rsidR="00B46B15">
        <w:rPr>
          <w:rFonts w:ascii="Adobe Garamond Pro" w:hAnsi="Adobe Garamond Pro"/>
        </w:rPr>
        <w:t xml:space="preserve"> </w:t>
      </w:r>
      <w:r w:rsidR="00B46B15">
        <w:rPr>
          <w:rFonts w:ascii="Adobe Garamond Pro" w:hAnsi="Adobe Garamond Pro"/>
          <w:i/>
        </w:rPr>
        <w:t>available at</w:t>
      </w:r>
      <w:r w:rsidRPr="00D47841">
        <w:rPr>
          <w:rFonts w:ascii="Adobe Garamond Pro" w:hAnsi="Adobe Garamond Pro"/>
        </w:rPr>
        <w:t xml:space="preserve"> http://media.wix.com/ugd/e48202_e59bb75110b8432ea41b24caf1a20d93.pdf.</w:t>
      </w:r>
    </w:p>
  </w:endnote>
  <w:endnote w:id="17">
    <w:p w14:paraId="3B5A2740" w14:textId="2CCFA33A" w:rsidR="00CC0E17" w:rsidRPr="00D47841" w:rsidRDefault="00CC0E17" w:rsidP="00D47841">
      <w:pPr>
        <w:pStyle w:val="EndnoteText"/>
        <w:rPr>
          <w:rFonts w:ascii="Adobe Garamond Pro" w:hAnsi="Adobe Garamond Pro"/>
        </w:rPr>
      </w:pPr>
      <w:r w:rsidRPr="00D47841">
        <w:rPr>
          <w:rStyle w:val="EndnoteReference"/>
          <w:rFonts w:ascii="Adobe Garamond Pro" w:hAnsi="Adobe Garamond Pro"/>
        </w:rPr>
        <w:endnoteRef/>
      </w:r>
      <w:r w:rsidRPr="00D47841">
        <w:rPr>
          <w:rFonts w:ascii="Adobe Garamond Pro" w:hAnsi="Adobe Garamond Pro"/>
        </w:rPr>
        <w:t xml:space="preserve"> </w:t>
      </w:r>
      <w:r w:rsidRPr="00D47841">
        <w:rPr>
          <w:rFonts w:ascii="Adobe Garamond Pro" w:hAnsi="Adobe Garamond Pro"/>
          <w:i/>
        </w:rPr>
        <w:t>Ray v. Blair</w:t>
      </w:r>
      <w:r w:rsidRPr="00D47841">
        <w:rPr>
          <w:rFonts w:ascii="Adobe Garamond Pro" w:hAnsi="Adobe Garamond Pro"/>
        </w:rPr>
        <w:t>, 343 U.S. 214 (1952).</w:t>
      </w:r>
    </w:p>
  </w:endnote>
  <w:endnote w:id="18">
    <w:p w14:paraId="045004A5" w14:textId="0618634F" w:rsidR="00CC0E17" w:rsidRPr="00D47841" w:rsidRDefault="00CC0E17" w:rsidP="00D47841">
      <w:pPr>
        <w:pStyle w:val="EndnoteText"/>
        <w:rPr>
          <w:rFonts w:ascii="Adobe Garamond Pro" w:hAnsi="Adobe Garamond Pro"/>
        </w:rPr>
      </w:pPr>
      <w:r w:rsidRPr="00D47841">
        <w:rPr>
          <w:rStyle w:val="EndnoteReference"/>
          <w:rFonts w:ascii="Adobe Garamond Pro" w:hAnsi="Adobe Garamond Pro"/>
        </w:rPr>
        <w:endnoteRef/>
      </w:r>
      <w:r w:rsidRPr="00D47841">
        <w:rPr>
          <w:rFonts w:ascii="Adobe Garamond Pro" w:hAnsi="Adobe Garamond Pro"/>
        </w:rPr>
        <w:t xml:space="preserve"> </w:t>
      </w:r>
      <w:r w:rsidRPr="00D47841">
        <w:rPr>
          <w:rFonts w:ascii="Adobe Garamond Pro" w:hAnsi="Adobe Garamond Pro"/>
          <w:i/>
        </w:rPr>
        <w:t>Arizona State Legislature v. Arizona Independent Redistricting Commission, et al.</w:t>
      </w:r>
      <w:r w:rsidRPr="00D47841">
        <w:rPr>
          <w:rFonts w:ascii="Adobe Garamond Pro" w:hAnsi="Adobe Garamond Pro"/>
        </w:rPr>
        <w:t xml:space="preserve">, No. 13–1314, slip op. (2014), </w:t>
      </w:r>
      <w:r w:rsidRPr="00D47841">
        <w:rPr>
          <w:rFonts w:ascii="Adobe Garamond Pro" w:hAnsi="Adobe Garamond Pro"/>
          <w:i/>
        </w:rPr>
        <w:t>available at</w:t>
      </w:r>
      <w:r w:rsidRPr="00D47841">
        <w:rPr>
          <w:rFonts w:ascii="Adobe Garamond Pro" w:hAnsi="Adobe Garamond Pro"/>
        </w:rPr>
        <w:t xml:space="preserve"> http://www.supremecourt.gov/opinions/14pdf/13-1314_kjfl.pdf.</w:t>
      </w:r>
    </w:p>
  </w:endnote>
  <w:endnote w:id="19">
    <w:p w14:paraId="4730B15D" w14:textId="77777777" w:rsidR="00BD0BEC" w:rsidRDefault="00BD0BEC" w:rsidP="00BD0BEC">
      <w:pPr>
        <w:pStyle w:val="EndnoteText"/>
      </w:pPr>
      <w:r>
        <w:rPr>
          <w:rStyle w:val="EndnoteReference"/>
        </w:rPr>
        <w:endnoteRef/>
      </w:r>
      <w:r>
        <w:t xml:space="preserve"> </w:t>
      </w:r>
      <w:r w:rsidRPr="00B46B15">
        <w:rPr>
          <w:i/>
        </w:rPr>
        <w:t>Id.</w:t>
      </w:r>
      <w:r>
        <w:t xml:space="preserve"> at * 35.</w:t>
      </w:r>
    </w:p>
  </w:endnote>
  <w:endnote w:id="20">
    <w:p w14:paraId="756B1B12" w14:textId="7FCBDB72" w:rsidR="00CC0E17" w:rsidRPr="00D47841" w:rsidRDefault="00CC0E17" w:rsidP="00D47841">
      <w:pPr>
        <w:pStyle w:val="EndnoteText"/>
        <w:rPr>
          <w:rFonts w:ascii="Adobe Garamond Pro" w:hAnsi="Adobe Garamond Pro"/>
        </w:rPr>
      </w:pPr>
      <w:r w:rsidRPr="00D47841">
        <w:rPr>
          <w:rStyle w:val="EndnoteReference"/>
          <w:rFonts w:ascii="Adobe Garamond Pro" w:hAnsi="Adobe Garamond Pro"/>
        </w:rPr>
        <w:endnoteRef/>
      </w:r>
      <w:r w:rsidRPr="00D47841">
        <w:rPr>
          <w:rFonts w:ascii="Adobe Garamond Pro" w:hAnsi="Adobe Garamond Pro"/>
        </w:rPr>
        <w:t xml:space="preserve"> </w:t>
      </w:r>
      <w:r w:rsidRPr="00D47841">
        <w:rPr>
          <w:rFonts w:ascii="Adobe Garamond Pro" w:hAnsi="Adobe Garamond Pro"/>
          <w:smallCaps/>
        </w:rPr>
        <w:t>A Constitutional Convention: How Well Would it Work?</w:t>
      </w:r>
      <w:r w:rsidRPr="00D47841">
        <w:rPr>
          <w:rFonts w:ascii="Adobe Garamond Pro" w:hAnsi="Adobe Garamond Pro"/>
        </w:rPr>
        <w:t xml:space="preserve"> </w:t>
      </w:r>
      <w:proofErr w:type="gramStart"/>
      <w:r w:rsidRPr="00D47841">
        <w:rPr>
          <w:rFonts w:ascii="Adobe Garamond Pro" w:hAnsi="Adobe Garamond Pro"/>
        </w:rPr>
        <w:t>at</w:t>
      </w:r>
      <w:proofErr w:type="gramEnd"/>
      <w:r w:rsidRPr="00D47841">
        <w:rPr>
          <w:rFonts w:ascii="Adobe Garamond Pro" w:hAnsi="Adobe Garamond Pro"/>
        </w:rPr>
        <w:t xml:space="preserve"> 5–6, 12</w:t>
      </w:r>
      <w:r w:rsidRPr="00D47841">
        <w:rPr>
          <w:rFonts w:ascii="Adobe Garamond Pro" w:hAnsi="Adobe Garamond Pro"/>
        </w:rPr>
        <w:softHyphen/>
        <w:t>–13, 18–19, 22</w:t>
      </w:r>
      <w:r w:rsidRPr="00D47841">
        <w:rPr>
          <w:rFonts w:ascii="Adobe Garamond Pro" w:hAnsi="Adobe Garamond Pro"/>
        </w:rPr>
        <w:softHyphen/>
        <w:t xml:space="preserve">–23, 36, 38 (American Enter. Inst. Pub. Policy Research, May 23, 1979), </w:t>
      </w:r>
      <w:r w:rsidRPr="00D47841">
        <w:rPr>
          <w:rFonts w:ascii="Adobe Garamond Pro" w:hAnsi="Adobe Garamond Pro"/>
          <w:i/>
        </w:rPr>
        <w:t>available at</w:t>
      </w:r>
      <w:r w:rsidRPr="00D47841">
        <w:rPr>
          <w:rFonts w:ascii="Adobe Garamond Pro" w:hAnsi="Adobe Garamond Pro"/>
        </w:rPr>
        <w:t xml:space="preserve"> http://media.wix.com/ugd/e48202_b26e64fe2413413fb362f5e4b4e6afd5.pdf.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F77C4" w14:textId="77777777" w:rsidR="00921FA9" w:rsidRDefault="00921FA9" w:rsidP="00EE3AF5">
      <w:r>
        <w:separator/>
      </w:r>
    </w:p>
  </w:footnote>
  <w:footnote w:type="continuationSeparator" w:id="0">
    <w:p w14:paraId="668D5A6E" w14:textId="77777777" w:rsidR="00921FA9" w:rsidRDefault="00921FA9" w:rsidP="00EE3AF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ie McClendon">
    <w15:presenceInfo w15:providerId="AD" w15:userId="S-1-5-21-952054743-83573268-239210854-2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1C"/>
    <w:rsid w:val="00006F65"/>
    <w:rsid w:val="0001571A"/>
    <w:rsid w:val="00022E54"/>
    <w:rsid w:val="00030C27"/>
    <w:rsid w:val="00061B29"/>
    <w:rsid w:val="000822CF"/>
    <w:rsid w:val="00084A8C"/>
    <w:rsid w:val="000B23D8"/>
    <w:rsid w:val="000C4291"/>
    <w:rsid w:val="000D0290"/>
    <w:rsid w:val="000D0FE2"/>
    <w:rsid w:val="000F4F96"/>
    <w:rsid w:val="000F6366"/>
    <w:rsid w:val="001006CF"/>
    <w:rsid w:val="001037F9"/>
    <w:rsid w:val="0010666C"/>
    <w:rsid w:val="00111D7A"/>
    <w:rsid w:val="00113E2B"/>
    <w:rsid w:val="00114B91"/>
    <w:rsid w:val="00141E15"/>
    <w:rsid w:val="00183E1D"/>
    <w:rsid w:val="001C0EB5"/>
    <w:rsid w:val="001D0B6A"/>
    <w:rsid w:val="002115B7"/>
    <w:rsid w:val="00220FC7"/>
    <w:rsid w:val="002577C4"/>
    <w:rsid w:val="00272037"/>
    <w:rsid w:val="00277AA5"/>
    <w:rsid w:val="0029696E"/>
    <w:rsid w:val="002B007F"/>
    <w:rsid w:val="002D6CAC"/>
    <w:rsid w:val="002E142D"/>
    <w:rsid w:val="002F0FC7"/>
    <w:rsid w:val="002F42E2"/>
    <w:rsid w:val="00302D5C"/>
    <w:rsid w:val="0038398A"/>
    <w:rsid w:val="0039584B"/>
    <w:rsid w:val="00395D7F"/>
    <w:rsid w:val="003A17C5"/>
    <w:rsid w:val="003A71F6"/>
    <w:rsid w:val="003C14F5"/>
    <w:rsid w:val="003E10B2"/>
    <w:rsid w:val="003F6253"/>
    <w:rsid w:val="00412BFD"/>
    <w:rsid w:val="004315A1"/>
    <w:rsid w:val="00441968"/>
    <w:rsid w:val="00467258"/>
    <w:rsid w:val="00472533"/>
    <w:rsid w:val="004B50FD"/>
    <w:rsid w:val="004B6E1C"/>
    <w:rsid w:val="004C6DC7"/>
    <w:rsid w:val="004F118D"/>
    <w:rsid w:val="004F58A6"/>
    <w:rsid w:val="00512391"/>
    <w:rsid w:val="00545ECD"/>
    <w:rsid w:val="00557E9D"/>
    <w:rsid w:val="00575E86"/>
    <w:rsid w:val="0058754A"/>
    <w:rsid w:val="005B41C4"/>
    <w:rsid w:val="005C2C78"/>
    <w:rsid w:val="005E1767"/>
    <w:rsid w:val="005E47C8"/>
    <w:rsid w:val="005E488A"/>
    <w:rsid w:val="00625661"/>
    <w:rsid w:val="0063719B"/>
    <w:rsid w:val="0065108E"/>
    <w:rsid w:val="006627B9"/>
    <w:rsid w:val="006A6C66"/>
    <w:rsid w:val="006C046F"/>
    <w:rsid w:val="006D4F4A"/>
    <w:rsid w:val="006D5007"/>
    <w:rsid w:val="006E1872"/>
    <w:rsid w:val="00707910"/>
    <w:rsid w:val="0071588D"/>
    <w:rsid w:val="00725FFE"/>
    <w:rsid w:val="0073789D"/>
    <w:rsid w:val="007618A8"/>
    <w:rsid w:val="00790377"/>
    <w:rsid w:val="007B1F3D"/>
    <w:rsid w:val="007D4BF3"/>
    <w:rsid w:val="007E0759"/>
    <w:rsid w:val="007E3B4A"/>
    <w:rsid w:val="007F4431"/>
    <w:rsid w:val="007F7164"/>
    <w:rsid w:val="00817F9F"/>
    <w:rsid w:val="008251AA"/>
    <w:rsid w:val="0082729F"/>
    <w:rsid w:val="00843F71"/>
    <w:rsid w:val="00857FB2"/>
    <w:rsid w:val="00863649"/>
    <w:rsid w:val="008670BD"/>
    <w:rsid w:val="00882BAC"/>
    <w:rsid w:val="0089051F"/>
    <w:rsid w:val="00892B94"/>
    <w:rsid w:val="008A16BA"/>
    <w:rsid w:val="008B5897"/>
    <w:rsid w:val="008B6660"/>
    <w:rsid w:val="008B6ECA"/>
    <w:rsid w:val="008C37D9"/>
    <w:rsid w:val="008E372F"/>
    <w:rsid w:val="009211B3"/>
    <w:rsid w:val="00921FA9"/>
    <w:rsid w:val="00934664"/>
    <w:rsid w:val="00957412"/>
    <w:rsid w:val="009620EB"/>
    <w:rsid w:val="009621EE"/>
    <w:rsid w:val="0096583D"/>
    <w:rsid w:val="009748F8"/>
    <w:rsid w:val="009C3967"/>
    <w:rsid w:val="009D1D12"/>
    <w:rsid w:val="00A17055"/>
    <w:rsid w:val="00A7722B"/>
    <w:rsid w:val="00AC4DB2"/>
    <w:rsid w:val="00AC6999"/>
    <w:rsid w:val="00B12777"/>
    <w:rsid w:val="00B340B5"/>
    <w:rsid w:val="00B35385"/>
    <w:rsid w:val="00B44BE7"/>
    <w:rsid w:val="00B46447"/>
    <w:rsid w:val="00B46B15"/>
    <w:rsid w:val="00B87BD5"/>
    <w:rsid w:val="00BA364E"/>
    <w:rsid w:val="00BA7020"/>
    <w:rsid w:val="00BC275E"/>
    <w:rsid w:val="00BD0BEC"/>
    <w:rsid w:val="00BD44FF"/>
    <w:rsid w:val="00BE7874"/>
    <w:rsid w:val="00BF2832"/>
    <w:rsid w:val="00BF45EB"/>
    <w:rsid w:val="00BF49E5"/>
    <w:rsid w:val="00C64802"/>
    <w:rsid w:val="00C7514E"/>
    <w:rsid w:val="00C8543E"/>
    <w:rsid w:val="00C92E18"/>
    <w:rsid w:val="00CC0E17"/>
    <w:rsid w:val="00CC7013"/>
    <w:rsid w:val="00CD004E"/>
    <w:rsid w:val="00CD3BDC"/>
    <w:rsid w:val="00CE46CA"/>
    <w:rsid w:val="00CE7DFB"/>
    <w:rsid w:val="00D25984"/>
    <w:rsid w:val="00D25FD2"/>
    <w:rsid w:val="00D308ED"/>
    <w:rsid w:val="00D47841"/>
    <w:rsid w:val="00D6397A"/>
    <w:rsid w:val="00D6611C"/>
    <w:rsid w:val="00DA56E0"/>
    <w:rsid w:val="00DB7C23"/>
    <w:rsid w:val="00DC5EBA"/>
    <w:rsid w:val="00DD0836"/>
    <w:rsid w:val="00DD5265"/>
    <w:rsid w:val="00DE3562"/>
    <w:rsid w:val="00DF0382"/>
    <w:rsid w:val="00E0703C"/>
    <w:rsid w:val="00E156E8"/>
    <w:rsid w:val="00E21275"/>
    <w:rsid w:val="00E8141B"/>
    <w:rsid w:val="00E85302"/>
    <w:rsid w:val="00E905D3"/>
    <w:rsid w:val="00EB3097"/>
    <w:rsid w:val="00EC4DEC"/>
    <w:rsid w:val="00EC6581"/>
    <w:rsid w:val="00EC77D2"/>
    <w:rsid w:val="00ED5532"/>
    <w:rsid w:val="00EE2E52"/>
    <w:rsid w:val="00EE3AF5"/>
    <w:rsid w:val="00EE59A2"/>
    <w:rsid w:val="00F57B19"/>
    <w:rsid w:val="00F837E9"/>
    <w:rsid w:val="00FB434D"/>
    <w:rsid w:val="00FE6826"/>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055"/>
    <w:rPr>
      <w:color w:val="0563C1" w:themeColor="hyperlink"/>
      <w:u w:val="single"/>
    </w:rPr>
  </w:style>
  <w:style w:type="paragraph" w:styleId="BalloonText">
    <w:name w:val="Balloon Text"/>
    <w:basedOn w:val="Normal"/>
    <w:link w:val="BalloonTextChar"/>
    <w:uiPriority w:val="99"/>
    <w:semiHidden/>
    <w:unhideWhenUsed/>
    <w:rsid w:val="00857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B2"/>
    <w:rPr>
      <w:rFonts w:ascii="Segoe UI" w:hAnsi="Segoe UI" w:cs="Segoe UI"/>
      <w:sz w:val="18"/>
      <w:szCs w:val="18"/>
    </w:rPr>
  </w:style>
  <w:style w:type="character" w:styleId="FollowedHyperlink">
    <w:name w:val="FollowedHyperlink"/>
    <w:basedOn w:val="DefaultParagraphFont"/>
    <w:uiPriority w:val="99"/>
    <w:semiHidden/>
    <w:unhideWhenUsed/>
    <w:rsid w:val="00EE3AF5"/>
    <w:rPr>
      <w:color w:val="954F72" w:themeColor="followedHyperlink"/>
      <w:u w:val="single"/>
    </w:rPr>
  </w:style>
  <w:style w:type="paragraph" w:styleId="FootnoteText">
    <w:name w:val="footnote text"/>
    <w:basedOn w:val="Normal"/>
    <w:link w:val="FootnoteTextChar"/>
    <w:uiPriority w:val="99"/>
    <w:semiHidden/>
    <w:unhideWhenUsed/>
    <w:rsid w:val="00183E1D"/>
    <w:pPr>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183E1D"/>
    <w:rPr>
      <w:rFonts w:ascii="Times New Roman" w:hAnsi="Times New Roman"/>
      <w:sz w:val="20"/>
      <w:szCs w:val="20"/>
    </w:rPr>
  </w:style>
  <w:style w:type="character" w:styleId="FootnoteReference">
    <w:name w:val="footnote reference"/>
    <w:basedOn w:val="DefaultParagraphFont"/>
    <w:uiPriority w:val="99"/>
    <w:unhideWhenUsed/>
    <w:rsid w:val="00183E1D"/>
    <w:rPr>
      <w:rFonts w:ascii="Times New Roman" w:hAnsi="Times New Roman"/>
      <w:sz w:val="20"/>
      <w:vertAlign w:val="superscript"/>
    </w:rPr>
  </w:style>
  <w:style w:type="paragraph" w:styleId="EndnoteText">
    <w:name w:val="endnote text"/>
    <w:basedOn w:val="Normal"/>
    <w:link w:val="EndnoteTextChar"/>
    <w:uiPriority w:val="99"/>
    <w:semiHidden/>
    <w:unhideWhenUsed/>
    <w:rsid w:val="00CC0E17"/>
    <w:rPr>
      <w:sz w:val="20"/>
      <w:szCs w:val="20"/>
    </w:rPr>
  </w:style>
  <w:style w:type="character" w:customStyle="1" w:styleId="EndnoteTextChar">
    <w:name w:val="Endnote Text Char"/>
    <w:basedOn w:val="DefaultParagraphFont"/>
    <w:link w:val="EndnoteText"/>
    <w:uiPriority w:val="99"/>
    <w:semiHidden/>
    <w:rsid w:val="00CC0E17"/>
    <w:rPr>
      <w:sz w:val="20"/>
      <w:szCs w:val="20"/>
    </w:rPr>
  </w:style>
  <w:style w:type="character" w:styleId="EndnoteReference">
    <w:name w:val="endnote reference"/>
    <w:basedOn w:val="DefaultParagraphFont"/>
    <w:uiPriority w:val="99"/>
    <w:semiHidden/>
    <w:unhideWhenUsed/>
    <w:rsid w:val="00CC0E17"/>
    <w:rPr>
      <w:vertAlign w:val="superscript"/>
    </w:rPr>
  </w:style>
  <w:style w:type="character" w:styleId="CommentReference">
    <w:name w:val="annotation reference"/>
    <w:basedOn w:val="DefaultParagraphFont"/>
    <w:uiPriority w:val="99"/>
    <w:semiHidden/>
    <w:unhideWhenUsed/>
    <w:rsid w:val="00C92E18"/>
    <w:rPr>
      <w:sz w:val="16"/>
      <w:szCs w:val="16"/>
    </w:rPr>
  </w:style>
  <w:style w:type="paragraph" w:styleId="CommentText">
    <w:name w:val="annotation text"/>
    <w:basedOn w:val="Normal"/>
    <w:link w:val="CommentTextChar"/>
    <w:uiPriority w:val="99"/>
    <w:semiHidden/>
    <w:unhideWhenUsed/>
    <w:rsid w:val="00C92E18"/>
    <w:rPr>
      <w:sz w:val="20"/>
      <w:szCs w:val="20"/>
    </w:rPr>
  </w:style>
  <w:style w:type="character" w:customStyle="1" w:styleId="CommentTextChar">
    <w:name w:val="Comment Text Char"/>
    <w:basedOn w:val="DefaultParagraphFont"/>
    <w:link w:val="CommentText"/>
    <w:uiPriority w:val="99"/>
    <w:semiHidden/>
    <w:rsid w:val="00C92E18"/>
    <w:rPr>
      <w:sz w:val="20"/>
      <w:szCs w:val="20"/>
    </w:rPr>
  </w:style>
  <w:style w:type="paragraph" w:styleId="CommentSubject">
    <w:name w:val="annotation subject"/>
    <w:basedOn w:val="CommentText"/>
    <w:next w:val="CommentText"/>
    <w:link w:val="CommentSubjectChar"/>
    <w:uiPriority w:val="99"/>
    <w:semiHidden/>
    <w:unhideWhenUsed/>
    <w:rsid w:val="00C92E18"/>
    <w:rPr>
      <w:b/>
      <w:bCs/>
    </w:rPr>
  </w:style>
  <w:style w:type="character" w:customStyle="1" w:styleId="CommentSubjectChar">
    <w:name w:val="Comment Subject Char"/>
    <w:basedOn w:val="CommentTextChar"/>
    <w:link w:val="CommentSubject"/>
    <w:uiPriority w:val="99"/>
    <w:semiHidden/>
    <w:rsid w:val="00C92E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055"/>
    <w:rPr>
      <w:color w:val="0563C1" w:themeColor="hyperlink"/>
      <w:u w:val="single"/>
    </w:rPr>
  </w:style>
  <w:style w:type="paragraph" w:styleId="BalloonText">
    <w:name w:val="Balloon Text"/>
    <w:basedOn w:val="Normal"/>
    <w:link w:val="BalloonTextChar"/>
    <w:uiPriority w:val="99"/>
    <w:semiHidden/>
    <w:unhideWhenUsed/>
    <w:rsid w:val="00857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B2"/>
    <w:rPr>
      <w:rFonts w:ascii="Segoe UI" w:hAnsi="Segoe UI" w:cs="Segoe UI"/>
      <w:sz w:val="18"/>
      <w:szCs w:val="18"/>
    </w:rPr>
  </w:style>
  <w:style w:type="character" w:styleId="FollowedHyperlink">
    <w:name w:val="FollowedHyperlink"/>
    <w:basedOn w:val="DefaultParagraphFont"/>
    <w:uiPriority w:val="99"/>
    <w:semiHidden/>
    <w:unhideWhenUsed/>
    <w:rsid w:val="00EE3AF5"/>
    <w:rPr>
      <w:color w:val="954F72" w:themeColor="followedHyperlink"/>
      <w:u w:val="single"/>
    </w:rPr>
  </w:style>
  <w:style w:type="paragraph" w:styleId="FootnoteText">
    <w:name w:val="footnote text"/>
    <w:basedOn w:val="Normal"/>
    <w:link w:val="FootnoteTextChar"/>
    <w:uiPriority w:val="99"/>
    <w:semiHidden/>
    <w:unhideWhenUsed/>
    <w:rsid w:val="00183E1D"/>
    <w:pPr>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183E1D"/>
    <w:rPr>
      <w:rFonts w:ascii="Times New Roman" w:hAnsi="Times New Roman"/>
      <w:sz w:val="20"/>
      <w:szCs w:val="20"/>
    </w:rPr>
  </w:style>
  <w:style w:type="character" w:styleId="FootnoteReference">
    <w:name w:val="footnote reference"/>
    <w:basedOn w:val="DefaultParagraphFont"/>
    <w:uiPriority w:val="99"/>
    <w:unhideWhenUsed/>
    <w:rsid w:val="00183E1D"/>
    <w:rPr>
      <w:rFonts w:ascii="Times New Roman" w:hAnsi="Times New Roman"/>
      <w:sz w:val="20"/>
      <w:vertAlign w:val="superscript"/>
    </w:rPr>
  </w:style>
  <w:style w:type="paragraph" w:styleId="EndnoteText">
    <w:name w:val="endnote text"/>
    <w:basedOn w:val="Normal"/>
    <w:link w:val="EndnoteTextChar"/>
    <w:uiPriority w:val="99"/>
    <w:semiHidden/>
    <w:unhideWhenUsed/>
    <w:rsid w:val="00CC0E17"/>
    <w:rPr>
      <w:sz w:val="20"/>
      <w:szCs w:val="20"/>
    </w:rPr>
  </w:style>
  <w:style w:type="character" w:customStyle="1" w:styleId="EndnoteTextChar">
    <w:name w:val="Endnote Text Char"/>
    <w:basedOn w:val="DefaultParagraphFont"/>
    <w:link w:val="EndnoteText"/>
    <w:uiPriority w:val="99"/>
    <w:semiHidden/>
    <w:rsid w:val="00CC0E17"/>
    <w:rPr>
      <w:sz w:val="20"/>
      <w:szCs w:val="20"/>
    </w:rPr>
  </w:style>
  <w:style w:type="character" w:styleId="EndnoteReference">
    <w:name w:val="endnote reference"/>
    <w:basedOn w:val="DefaultParagraphFont"/>
    <w:uiPriority w:val="99"/>
    <w:semiHidden/>
    <w:unhideWhenUsed/>
    <w:rsid w:val="00CC0E17"/>
    <w:rPr>
      <w:vertAlign w:val="superscript"/>
    </w:rPr>
  </w:style>
  <w:style w:type="character" w:styleId="CommentReference">
    <w:name w:val="annotation reference"/>
    <w:basedOn w:val="DefaultParagraphFont"/>
    <w:uiPriority w:val="99"/>
    <w:semiHidden/>
    <w:unhideWhenUsed/>
    <w:rsid w:val="00C92E18"/>
    <w:rPr>
      <w:sz w:val="16"/>
      <w:szCs w:val="16"/>
    </w:rPr>
  </w:style>
  <w:style w:type="paragraph" w:styleId="CommentText">
    <w:name w:val="annotation text"/>
    <w:basedOn w:val="Normal"/>
    <w:link w:val="CommentTextChar"/>
    <w:uiPriority w:val="99"/>
    <w:semiHidden/>
    <w:unhideWhenUsed/>
    <w:rsid w:val="00C92E18"/>
    <w:rPr>
      <w:sz w:val="20"/>
      <w:szCs w:val="20"/>
    </w:rPr>
  </w:style>
  <w:style w:type="character" w:customStyle="1" w:styleId="CommentTextChar">
    <w:name w:val="Comment Text Char"/>
    <w:basedOn w:val="DefaultParagraphFont"/>
    <w:link w:val="CommentText"/>
    <w:uiPriority w:val="99"/>
    <w:semiHidden/>
    <w:rsid w:val="00C92E18"/>
    <w:rPr>
      <w:sz w:val="20"/>
      <w:szCs w:val="20"/>
    </w:rPr>
  </w:style>
  <w:style w:type="paragraph" w:styleId="CommentSubject">
    <w:name w:val="annotation subject"/>
    <w:basedOn w:val="CommentText"/>
    <w:next w:val="CommentText"/>
    <w:link w:val="CommentSubjectChar"/>
    <w:uiPriority w:val="99"/>
    <w:semiHidden/>
    <w:unhideWhenUsed/>
    <w:rsid w:val="00C92E18"/>
    <w:rPr>
      <w:b/>
      <w:bCs/>
    </w:rPr>
  </w:style>
  <w:style w:type="character" w:customStyle="1" w:styleId="CommentSubjectChar">
    <w:name w:val="Comment Subject Char"/>
    <w:basedOn w:val="CommentTextChar"/>
    <w:link w:val="CommentSubject"/>
    <w:uiPriority w:val="99"/>
    <w:semiHidden/>
    <w:rsid w:val="00C92E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CAE31-ABE0-4663-85C6-4DD3D400A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2839</Words>
  <Characters>16187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Compact for America</Company>
  <LinksUpToDate>false</LinksUpToDate>
  <CharactersWithSpaces>18989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Dranias</dc:creator>
  <cp:lastModifiedBy>Timothy Courtney</cp:lastModifiedBy>
  <cp:revision>2</cp:revision>
  <dcterms:created xsi:type="dcterms:W3CDTF">2016-02-02T20:19:00Z</dcterms:created>
  <dcterms:modified xsi:type="dcterms:W3CDTF">2016-02-02T20:19:00Z</dcterms:modified>
</cp:coreProperties>
</file>